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text" w:tblpY="1"/>
        <w:tblOverlap w:val="never"/>
        <w:tblW w:w="0" w:type="auto"/>
        <w:tblLook w:val="04A0" w:firstRow="1" w:lastRow="0" w:firstColumn="1" w:lastColumn="0" w:noHBand="0" w:noVBand="1"/>
      </w:tblPr>
      <w:tblGrid>
        <w:gridCol w:w="562"/>
        <w:gridCol w:w="4536"/>
        <w:gridCol w:w="3544"/>
        <w:gridCol w:w="1418"/>
        <w:gridCol w:w="3934"/>
      </w:tblGrid>
      <w:tr w:rsidR="000D193C" w14:paraId="1A7847D9" w14:textId="77777777" w:rsidTr="001257A2">
        <w:tc>
          <w:tcPr>
            <w:tcW w:w="562" w:type="dxa"/>
          </w:tcPr>
          <w:p w14:paraId="19E7AC4E" w14:textId="77777777" w:rsidR="000D193C" w:rsidRDefault="000D193C" w:rsidP="001257A2">
            <w:pPr>
              <w:jc w:val="center"/>
            </w:pPr>
            <w:bookmarkStart w:id="0" w:name="_Hlk185332787"/>
            <w:r>
              <w:t>1</w:t>
            </w:r>
          </w:p>
        </w:tc>
        <w:tc>
          <w:tcPr>
            <w:tcW w:w="4536" w:type="dxa"/>
          </w:tcPr>
          <w:p w14:paraId="67C9F90F" w14:textId="77777777" w:rsidR="000D193C" w:rsidRDefault="00E37D0D" w:rsidP="008C4316">
            <w:r w:rsidRPr="00E37D0D">
              <w:rPr>
                <w:b/>
              </w:rPr>
              <w:t xml:space="preserve">Zmiana zasad ustalania </w:t>
            </w:r>
            <w:r w:rsidR="00892AC4">
              <w:rPr>
                <w:b/>
              </w:rPr>
              <w:t xml:space="preserve">istnienia </w:t>
            </w:r>
            <w:r w:rsidRPr="00E37D0D">
              <w:rPr>
                <w:b/>
              </w:rPr>
              <w:t>przesłanki negatywnej potwierdzania statusu działacza opozycji tj. faktu współpracy z SB.</w:t>
            </w:r>
          </w:p>
        </w:tc>
        <w:tc>
          <w:tcPr>
            <w:tcW w:w="3544" w:type="dxa"/>
          </w:tcPr>
          <w:p w14:paraId="4A64B4A7" w14:textId="77777777" w:rsidR="000D193C" w:rsidRDefault="00E37D0D" w:rsidP="008C4316">
            <w:r w:rsidRPr="00E37D0D">
              <w:t>Obecnie status działacza nie należy się, jeśli w zasobach IPN zachowały się dokumenty wytworzone przez daną osobę w charakterze tajnego współpracownika</w:t>
            </w:r>
            <w:r w:rsidR="00892AC4">
              <w:t xml:space="preserve"> -</w:t>
            </w:r>
            <w:r w:rsidRPr="00E37D0D">
              <w:t xml:space="preserve"> niezależnie od tego</w:t>
            </w:r>
            <w:r>
              <w:t>,</w:t>
            </w:r>
            <w:r w:rsidRPr="00E37D0D">
              <w:t xml:space="preserve"> czy owa współpraca rzeczywiście była </w:t>
            </w:r>
            <w:r>
              <w:t>prowadzona</w:t>
            </w:r>
            <w:r w:rsidRPr="00E37D0D">
              <w:t xml:space="preserve">. </w:t>
            </w:r>
          </w:p>
          <w:p w14:paraId="14733C58" w14:textId="77777777" w:rsidR="00E37D0D" w:rsidRDefault="00E37D0D" w:rsidP="008C4316">
            <w:r>
              <w:t>Możliwe rozwiązania:</w:t>
            </w:r>
          </w:p>
          <w:p w14:paraId="23DEAEFF" w14:textId="77777777" w:rsidR="00E37D0D" w:rsidRDefault="002D1D63" w:rsidP="008C4316">
            <w:r>
              <w:t xml:space="preserve">1. </w:t>
            </w:r>
            <w:r w:rsidR="00E37D0D">
              <w:t xml:space="preserve">pozostawienie stanu obecnego z </w:t>
            </w:r>
            <w:r>
              <w:t>uzupełnieniem</w:t>
            </w:r>
            <w:r w:rsidR="00E37D0D">
              <w:t xml:space="preserve">, że w przypadku negatywnej decyzji Prezesa IPN wnioskodawcy służy prawo wszczęcia postępowania przed sądem lustracyjnym, którego przedmiotem będzie badanie czy </w:t>
            </w:r>
            <w:r>
              <w:t>doszło do</w:t>
            </w:r>
            <w:r w:rsidR="00E37D0D">
              <w:t xml:space="preserve"> faktyczn</w:t>
            </w:r>
            <w:r>
              <w:t>ej</w:t>
            </w:r>
            <w:r w:rsidR="00E37D0D">
              <w:t xml:space="preserve"> współprac</w:t>
            </w:r>
            <w:r>
              <w:t>y</w:t>
            </w:r>
            <w:r w:rsidR="00A739CF">
              <w:t>. W</w:t>
            </w:r>
            <w:r w:rsidR="00E37D0D">
              <w:t xml:space="preserve">yrok </w:t>
            </w:r>
            <w:r w:rsidR="00892AC4">
              <w:t xml:space="preserve">sądu </w:t>
            </w:r>
            <w:r>
              <w:t xml:space="preserve">zaprzeczający istnieniu współpracy pozwoli </w:t>
            </w:r>
            <w:r w:rsidR="006F5CCD">
              <w:t>rozpocząć właściwe postepowanie ws.</w:t>
            </w:r>
            <w:r>
              <w:t xml:space="preserve"> status</w:t>
            </w:r>
            <w:r w:rsidR="006F5CCD">
              <w:t>u</w:t>
            </w:r>
            <w:r>
              <w:t>,</w:t>
            </w:r>
          </w:p>
          <w:p w14:paraId="30EC3ADD" w14:textId="77777777" w:rsidR="002D1D63" w:rsidRDefault="002D1D63" w:rsidP="008C4316">
            <w:r>
              <w:t>2. zobligowanie Prezesa IPN do badania od razu w każdym przypadku, czy doszło do faktycznej współpracy – jeśli uzna, że tak, to wnioskodawcy będzie przysługiwało prawo wszczęcia postępowania przed sądem lustracyjnym,</w:t>
            </w:r>
          </w:p>
          <w:p w14:paraId="719AFC09" w14:textId="77777777" w:rsidR="002D1D63" w:rsidRDefault="002D1D63" w:rsidP="008C4316">
            <w:r>
              <w:lastRenderedPageBreak/>
              <w:t xml:space="preserve">3. wariant mieszany – pozostawienie obecnych przepisów, przy czym jeśli okazałoby się, że zachowane zostały dokumenty wytworzone </w:t>
            </w:r>
            <w:r w:rsidR="00A739CF">
              <w:t xml:space="preserve">przez wnioskodawcę </w:t>
            </w:r>
            <w:r>
              <w:t xml:space="preserve">jako TW, to </w:t>
            </w:r>
            <w:r w:rsidR="00A739CF">
              <w:t xml:space="preserve">dopiero </w:t>
            </w:r>
            <w:r>
              <w:t>wówczas Prezes IPN badałby, czy doszło do faktycznej współpracy</w:t>
            </w:r>
            <w:r w:rsidR="00A739CF">
              <w:t xml:space="preserve"> -</w:t>
            </w:r>
            <w:r>
              <w:t xml:space="preserve"> i jeśliby stwierdzał, że tak, to stronie przysługiwałoby prawo wszczęcia postępowania przed sądem lustracyjnym.</w:t>
            </w:r>
          </w:p>
        </w:tc>
        <w:tc>
          <w:tcPr>
            <w:tcW w:w="1418" w:type="dxa"/>
          </w:tcPr>
          <w:p w14:paraId="61C3D79C" w14:textId="77777777" w:rsidR="000D193C" w:rsidRDefault="000D193C" w:rsidP="001257A2"/>
        </w:tc>
        <w:tc>
          <w:tcPr>
            <w:tcW w:w="3934" w:type="dxa"/>
          </w:tcPr>
          <w:p w14:paraId="31335CB5" w14:textId="77777777" w:rsidR="000D193C" w:rsidRDefault="000D193C" w:rsidP="001257A2"/>
        </w:tc>
      </w:tr>
      <w:bookmarkEnd w:id="0"/>
      <w:tr w:rsidR="000D193C" w14:paraId="62E61728" w14:textId="77777777" w:rsidTr="001257A2">
        <w:tc>
          <w:tcPr>
            <w:tcW w:w="562" w:type="dxa"/>
          </w:tcPr>
          <w:p w14:paraId="13691D3C" w14:textId="77777777" w:rsidR="000D193C" w:rsidRDefault="000D193C" w:rsidP="001257A2">
            <w:pPr>
              <w:jc w:val="center"/>
            </w:pPr>
            <w:r>
              <w:t>2</w:t>
            </w:r>
          </w:p>
        </w:tc>
        <w:tc>
          <w:tcPr>
            <w:tcW w:w="4536" w:type="dxa"/>
          </w:tcPr>
          <w:p w14:paraId="429352A0" w14:textId="77777777" w:rsidR="003F2996" w:rsidRPr="003F2996" w:rsidRDefault="003F2996" w:rsidP="008C4316">
            <w:pPr>
              <w:rPr>
                <w:b/>
              </w:rPr>
            </w:pPr>
            <w:r w:rsidRPr="003F2996">
              <w:rPr>
                <w:b/>
              </w:rPr>
              <w:t>Wyraźne przesądzenie w ustawie, że status działacza opozycji mogą uzyskać również osoby, które w momencie prowadzenia działalności niepodległościowej</w:t>
            </w:r>
            <w:r w:rsidR="00527EFF">
              <w:rPr>
                <w:b/>
              </w:rPr>
              <w:t>, zagrożonej represjami</w:t>
            </w:r>
            <w:r w:rsidR="008D0B19">
              <w:rPr>
                <w:b/>
              </w:rPr>
              <w:t xml:space="preserve"> wskazanymi w ustawie,</w:t>
            </w:r>
            <w:r w:rsidRPr="003F2996">
              <w:rPr>
                <w:b/>
              </w:rPr>
              <w:t xml:space="preserve"> nie miały ukończonych 17 lat.</w:t>
            </w:r>
          </w:p>
          <w:p w14:paraId="28D59713" w14:textId="77777777" w:rsidR="000D193C" w:rsidRDefault="000D193C" w:rsidP="008C4316"/>
        </w:tc>
        <w:tc>
          <w:tcPr>
            <w:tcW w:w="3544" w:type="dxa"/>
          </w:tcPr>
          <w:p w14:paraId="25116A4D" w14:textId="77777777" w:rsidR="008D0B19" w:rsidRDefault="008D0B19" w:rsidP="008C4316">
            <w:r>
              <w:t>W obecnym stanie prawnym pojawiały się wątpliwości, czy</w:t>
            </w:r>
            <w:r w:rsidR="003F2996">
              <w:t xml:space="preserve"> dana osoba prowadząc działalność musiała podlegać </w:t>
            </w:r>
            <w:r>
              <w:t xml:space="preserve">osobistemu </w:t>
            </w:r>
            <w:r w:rsidR="003F2996">
              <w:t xml:space="preserve">zagrożeniu odpowiedzialnością karną (a więc </w:t>
            </w:r>
            <w:r>
              <w:t>musiała</w:t>
            </w:r>
            <w:r w:rsidR="003F2996">
              <w:t xml:space="preserve"> mieć ukończone 17 lat w momencie prowadzenia działalności), czy też </w:t>
            </w:r>
            <w:r>
              <w:t xml:space="preserve">wystarcza, że co do zasady </w:t>
            </w:r>
            <w:r w:rsidR="003F2996">
              <w:t xml:space="preserve">dana działalność </w:t>
            </w:r>
            <w:r>
              <w:t>podlegała odpowiedzialności karnej, choć akurat ta konkretna osoba ją prowadząca nie, bo nie miała ukończonych 17 lat.</w:t>
            </w:r>
          </w:p>
          <w:p w14:paraId="2827E0DE" w14:textId="77777777" w:rsidR="003F2996" w:rsidRDefault="008D0B19" w:rsidP="008C4316">
            <w:r>
              <w:t xml:space="preserve">Doprecyzowanie tej kwestii polegałoby na powiązaniu działalności </w:t>
            </w:r>
            <w:r w:rsidR="003F2996">
              <w:t>niepodległościow</w:t>
            </w:r>
            <w:r>
              <w:t>ej z</w:t>
            </w:r>
            <w:r w:rsidR="003F2996">
              <w:t xml:space="preserve"> </w:t>
            </w:r>
            <w:r w:rsidR="003F2996">
              <w:lastRenderedPageBreak/>
              <w:t xml:space="preserve">innymi represjami </w:t>
            </w:r>
            <w:r>
              <w:t xml:space="preserve">wskazanymi w ustawie </w:t>
            </w:r>
            <w:r w:rsidR="003F2996">
              <w:t>– relegowaniem ze szkoły, umieszczeniem w ośrodku poprawczym, dozorem kuratora itp. represjami z ustawy o postepowaniu w sprawach nieletnich.</w:t>
            </w:r>
          </w:p>
          <w:p w14:paraId="1CEA76C6" w14:textId="77777777" w:rsidR="000D193C" w:rsidRDefault="003F2996" w:rsidP="008C4316">
            <w:r>
              <w:t>Usunie to wątpliwości, czy</w:t>
            </w:r>
            <w:r w:rsidRPr="003F2996">
              <w:t xml:space="preserve"> przyznawać status działacza młodym ludziom prowadzącym działalność antykomunistyczną w Federacji Młodzieży Walczącej, Ruchu Młodzieży Niezależnej i innych niepodległościowych organizacjach młodzieżowych. </w:t>
            </w:r>
          </w:p>
        </w:tc>
        <w:tc>
          <w:tcPr>
            <w:tcW w:w="1418" w:type="dxa"/>
          </w:tcPr>
          <w:p w14:paraId="69DB4066" w14:textId="77777777" w:rsidR="000D193C" w:rsidRDefault="000D193C" w:rsidP="001257A2"/>
        </w:tc>
        <w:tc>
          <w:tcPr>
            <w:tcW w:w="3934" w:type="dxa"/>
          </w:tcPr>
          <w:p w14:paraId="1B428B48" w14:textId="77777777" w:rsidR="000D193C" w:rsidRDefault="000D193C" w:rsidP="001257A2"/>
        </w:tc>
      </w:tr>
      <w:tr w:rsidR="000D193C" w14:paraId="0509A3E2" w14:textId="77777777" w:rsidTr="001257A2">
        <w:tc>
          <w:tcPr>
            <w:tcW w:w="562" w:type="dxa"/>
          </w:tcPr>
          <w:p w14:paraId="301336BE" w14:textId="77777777" w:rsidR="000D193C" w:rsidRDefault="000D193C" w:rsidP="001257A2">
            <w:pPr>
              <w:jc w:val="center"/>
            </w:pPr>
            <w:r>
              <w:t>3</w:t>
            </w:r>
          </w:p>
        </w:tc>
        <w:tc>
          <w:tcPr>
            <w:tcW w:w="4536" w:type="dxa"/>
          </w:tcPr>
          <w:p w14:paraId="6C27EF5D" w14:textId="77777777" w:rsidR="003F2996" w:rsidRPr="003F2996" w:rsidRDefault="003F2996" w:rsidP="008C4316">
            <w:pPr>
              <w:rPr>
                <w:b/>
              </w:rPr>
            </w:pPr>
            <w:r w:rsidRPr="003F2996">
              <w:rPr>
                <w:b/>
              </w:rPr>
              <w:t xml:space="preserve">Umożliwienie nabycia statusu osoby represjonowanej z powodów politycznych osobom, które za udział w wystąpieniach wolnościowych trafiały do więzień czy aresztów – obecnie takiej przesłanki w ustawie nie ma. Podobnie status osoby represjonowanej powinny móc uzyskać osoby, które prowadziły stałą działalność antykomunistyczną (ale krócej niż 1 rok, albo prowadziły ją w prasie związkowej w latach </w:t>
            </w:r>
            <w:r w:rsidR="00730864">
              <w:rPr>
                <w:b/>
              </w:rPr>
              <w:t>„</w:t>
            </w:r>
            <w:r w:rsidRPr="003F2996">
              <w:rPr>
                <w:b/>
              </w:rPr>
              <w:t>pierwszej Solidarności</w:t>
            </w:r>
            <w:r w:rsidR="00730864">
              <w:rPr>
                <w:b/>
              </w:rPr>
              <w:t>”</w:t>
            </w:r>
            <w:r w:rsidRPr="003F2996">
              <w:rPr>
                <w:b/>
              </w:rPr>
              <w:t xml:space="preserve">) i zostały za to pozbawione możliwości wykonywania zawodu (np. </w:t>
            </w:r>
            <w:r w:rsidR="00A739CF">
              <w:rPr>
                <w:b/>
              </w:rPr>
              <w:t>negatywnie z</w:t>
            </w:r>
            <w:r w:rsidRPr="003F2996">
              <w:rPr>
                <w:b/>
              </w:rPr>
              <w:t xml:space="preserve">weryfikowani w stanie </w:t>
            </w:r>
            <w:r w:rsidRPr="003F2996">
              <w:rPr>
                <w:b/>
              </w:rPr>
              <w:lastRenderedPageBreak/>
              <w:t xml:space="preserve">wojennym dziennikarze) – dziś </w:t>
            </w:r>
            <w:r w:rsidR="006F5CCD">
              <w:rPr>
                <w:b/>
              </w:rPr>
              <w:t xml:space="preserve">za </w:t>
            </w:r>
            <w:r w:rsidRPr="003F2996">
              <w:rPr>
                <w:b/>
              </w:rPr>
              <w:t>represj</w:t>
            </w:r>
            <w:r w:rsidR="006F5CCD">
              <w:rPr>
                <w:b/>
              </w:rPr>
              <w:t>ę</w:t>
            </w:r>
            <w:r w:rsidRPr="003F2996">
              <w:rPr>
                <w:b/>
              </w:rPr>
              <w:t xml:space="preserve"> jest </w:t>
            </w:r>
            <w:r w:rsidR="006F5CCD">
              <w:rPr>
                <w:b/>
              </w:rPr>
              <w:t xml:space="preserve">uznane </w:t>
            </w:r>
            <w:r w:rsidRPr="003F2996">
              <w:rPr>
                <w:b/>
              </w:rPr>
              <w:t>pozbawienie możliwości wykonywania zawodu, ale wyłącznie za udział w wystąpieniu wolnościowym</w:t>
            </w:r>
            <w:r w:rsidR="00A739CF">
              <w:rPr>
                <w:b/>
              </w:rPr>
              <w:t>, a nie za „regularną” działalność opozycyjną.</w:t>
            </w:r>
          </w:p>
          <w:p w14:paraId="5316A28B" w14:textId="77777777" w:rsidR="000D193C" w:rsidRDefault="000D193C" w:rsidP="008C4316"/>
        </w:tc>
        <w:tc>
          <w:tcPr>
            <w:tcW w:w="3544" w:type="dxa"/>
          </w:tcPr>
          <w:p w14:paraId="26668DBB" w14:textId="77777777" w:rsidR="000D193C" w:rsidRDefault="000D193C" w:rsidP="008C4316"/>
        </w:tc>
        <w:tc>
          <w:tcPr>
            <w:tcW w:w="1418" w:type="dxa"/>
          </w:tcPr>
          <w:p w14:paraId="4758139A" w14:textId="77777777" w:rsidR="000D193C" w:rsidRDefault="000D193C" w:rsidP="001257A2"/>
        </w:tc>
        <w:tc>
          <w:tcPr>
            <w:tcW w:w="3934" w:type="dxa"/>
          </w:tcPr>
          <w:p w14:paraId="18F4DE87" w14:textId="77777777" w:rsidR="000D193C" w:rsidRDefault="000D193C" w:rsidP="001257A2"/>
        </w:tc>
      </w:tr>
      <w:tr w:rsidR="000D193C" w14:paraId="6D748F13" w14:textId="77777777" w:rsidTr="001257A2">
        <w:tc>
          <w:tcPr>
            <w:tcW w:w="562" w:type="dxa"/>
          </w:tcPr>
          <w:p w14:paraId="5DE0C97A" w14:textId="77777777" w:rsidR="000D193C" w:rsidRDefault="0040761E" w:rsidP="001257A2">
            <w:pPr>
              <w:jc w:val="center"/>
            </w:pPr>
            <w:r>
              <w:t>4</w:t>
            </w:r>
          </w:p>
        </w:tc>
        <w:tc>
          <w:tcPr>
            <w:tcW w:w="4536" w:type="dxa"/>
          </w:tcPr>
          <w:p w14:paraId="139E25E3" w14:textId="77777777" w:rsidR="000D193C" w:rsidRDefault="00730864" w:rsidP="008C4316">
            <w:r w:rsidRPr="00730864">
              <w:rPr>
                <w:b/>
              </w:rPr>
              <w:t>Opublikowanie powszechnie dostępnej listy osób, którym przyznano status działacza</w:t>
            </w:r>
            <w:r>
              <w:rPr>
                <w:b/>
              </w:rPr>
              <w:t>/osoby represjonowanej</w:t>
            </w:r>
          </w:p>
        </w:tc>
        <w:tc>
          <w:tcPr>
            <w:tcW w:w="3544" w:type="dxa"/>
          </w:tcPr>
          <w:p w14:paraId="352043C4" w14:textId="77777777" w:rsidR="00730864" w:rsidRDefault="00730864" w:rsidP="008C4316">
            <w:r>
              <w:t>- wnioskodawcy uzasadniają</w:t>
            </w:r>
            <w:r w:rsidR="00254199">
              <w:t xml:space="preserve">, że taka lista pozwoli uhonorować </w:t>
            </w:r>
            <w:r w:rsidR="0006296D">
              <w:t>umieszczoną na niej</w:t>
            </w:r>
            <w:r w:rsidR="00254199">
              <w:t xml:space="preserve"> osobę, a także umożliwi </w:t>
            </w:r>
            <w:r w:rsidR="0006296D">
              <w:t>„</w:t>
            </w:r>
            <w:r w:rsidR="00254199">
              <w:t>społeczn</w:t>
            </w:r>
            <w:r w:rsidR="0006296D">
              <w:t>ą”</w:t>
            </w:r>
            <w:r w:rsidR="00254199">
              <w:t xml:space="preserve"> weryfikację osób ze statusem działacza/osoby represjonowanej</w:t>
            </w:r>
          </w:p>
          <w:p w14:paraId="31D488ED" w14:textId="77777777" w:rsidR="00730864" w:rsidRDefault="003603AB" w:rsidP="008C4316">
            <w:r>
              <w:t xml:space="preserve">1. </w:t>
            </w:r>
            <w:r w:rsidR="002137C4">
              <w:t>istnieją wątpliwości, czy</w:t>
            </w:r>
            <w:r w:rsidR="00730864" w:rsidRPr="00730864">
              <w:t xml:space="preserve"> taka publikacja </w:t>
            </w:r>
            <w:r w:rsidR="002137C4">
              <w:t xml:space="preserve">nie </w:t>
            </w:r>
            <w:r w:rsidR="00730864" w:rsidRPr="00730864">
              <w:t>powinna być</w:t>
            </w:r>
            <w:r>
              <w:t xml:space="preserve"> wyłącznie</w:t>
            </w:r>
            <w:r w:rsidR="00730864" w:rsidRPr="00730864">
              <w:t xml:space="preserve"> dobrowolna, po wyrażeniu zgody przez działacza. W innym przypadku </w:t>
            </w:r>
            <w:r>
              <w:t>możem</w:t>
            </w:r>
            <w:r w:rsidR="00730864" w:rsidRPr="00730864">
              <w:t>y mieć do czynienia z naruszeniem konstytucyjnego prawa do prywatności</w:t>
            </w:r>
            <w:r w:rsidR="002137C4">
              <w:t xml:space="preserve"> z art. 47 Konstytucji</w:t>
            </w:r>
            <w:r w:rsidR="00730864" w:rsidRPr="00730864">
              <w:t xml:space="preserve"> i naruszeniem art. 51 ust. 2 Konstytucji, który stanowi że </w:t>
            </w:r>
            <w:r w:rsidR="00730864" w:rsidRPr="00730864">
              <w:rPr>
                <w:i/>
              </w:rPr>
              <w:t xml:space="preserve">władze publiczne nie mogą pozyskiwać, gromadzić i </w:t>
            </w:r>
            <w:r w:rsidR="00730864" w:rsidRPr="00730864">
              <w:rPr>
                <w:i/>
                <w:u w:val="single"/>
              </w:rPr>
              <w:t>udostępniać innych informacji o obywatelach niż niezbędne w demokratycznym państwie prawnym</w:t>
            </w:r>
            <w:r w:rsidR="00730864" w:rsidRPr="00730864">
              <w:t xml:space="preserve">. Takie </w:t>
            </w:r>
            <w:r w:rsidR="00730864" w:rsidRPr="00730864">
              <w:lastRenderedPageBreak/>
              <w:t xml:space="preserve">udostępnianie (a więc ograniczenie prawa do prywatności) jest możliwe, </w:t>
            </w:r>
            <w:r w:rsidR="00730864" w:rsidRPr="00730864">
              <w:rPr>
                <w:i/>
              </w:rPr>
              <w:t xml:space="preserve">gdy jest to </w:t>
            </w:r>
            <w:r w:rsidR="00730864" w:rsidRPr="0006296D">
              <w:rPr>
                <w:i/>
                <w:u w:val="single"/>
              </w:rPr>
              <w:t>konieczn</w:t>
            </w:r>
            <w:r w:rsidR="00730864" w:rsidRPr="00730864">
              <w:rPr>
                <w:i/>
              </w:rPr>
              <w:t xml:space="preserve">e w demokratycznym państwie dla jego bezpieczeństwa lub porządku publicznego, bądź dla ochrony środowiska, zdrowia i moralności publicznej, albo wolności i praw innych osób. Ograniczenia te nie mogą naruszać istoty wolności i praw </w:t>
            </w:r>
            <w:r w:rsidR="00730864" w:rsidRPr="00730864">
              <w:t xml:space="preserve">(art. 31 ust. 3 Konstytucji). W ocenie </w:t>
            </w:r>
            <w:r w:rsidR="00A739CF">
              <w:t xml:space="preserve">Urzędu </w:t>
            </w:r>
            <w:r w:rsidR="00730864" w:rsidRPr="00730864">
              <w:t>wnioskujący o upublicznienie listy osób, którym potwierdzono status (i które z tego tytułu pobierają różne świadczenia) nie wykazali, że istnieją wskazane w Konstytucji racje pozwalające uchylić prawo do prywatności.</w:t>
            </w:r>
            <w:r>
              <w:t xml:space="preserve"> Ok. 16 tys. osób wnioskowało o </w:t>
            </w:r>
            <w:r w:rsidR="006F5CCD">
              <w:t xml:space="preserve">potwierdzenie </w:t>
            </w:r>
            <w:r>
              <w:t>status</w:t>
            </w:r>
            <w:r w:rsidR="006F5CCD">
              <w:t>u</w:t>
            </w:r>
            <w:r>
              <w:t xml:space="preserve"> do Urzędu z </w:t>
            </w:r>
            <w:r w:rsidR="00A739CF">
              <w:t>przeświadczeniem</w:t>
            </w:r>
            <w:r>
              <w:t>, że ich dane nie będą upublicznione – mają prawo oczekiwać, że państwo nie zmieni teraz „warunków gry w jej trakcie”.</w:t>
            </w:r>
          </w:p>
          <w:p w14:paraId="4195B3F4" w14:textId="77777777" w:rsidR="002137C4" w:rsidRPr="00730864" w:rsidRDefault="003603AB" w:rsidP="008C4316">
            <w:r>
              <w:t xml:space="preserve">2. </w:t>
            </w:r>
            <w:r w:rsidR="002137C4">
              <w:t>abstrahując od powyższych uwag</w:t>
            </w:r>
            <w:r>
              <w:t xml:space="preserve"> wątpliwa jest skuteczność takiej kontroli społecznej, komu Urząd </w:t>
            </w:r>
            <w:r>
              <w:lastRenderedPageBreak/>
              <w:t>przyznał uprawnienia</w:t>
            </w:r>
            <w:r w:rsidR="0006296D">
              <w:t>,</w:t>
            </w:r>
            <w:r>
              <w:t xml:space="preserve"> w sytuacji, gdy publikowane byłoby samo imię i nazwisko – by można było taką kontrolę rzeczywiście przeprowadzić, musiałaby być podawana większa ilość danych identyfikujących daną osobę i przede wszystkim – za co dana osoba dostała uprawnienia – tu zaś wracamy do uwag z pkt 1.</w:t>
            </w:r>
          </w:p>
          <w:p w14:paraId="272578E6" w14:textId="77777777" w:rsidR="000D193C" w:rsidRDefault="000D193C" w:rsidP="008C4316"/>
        </w:tc>
        <w:tc>
          <w:tcPr>
            <w:tcW w:w="1418" w:type="dxa"/>
          </w:tcPr>
          <w:p w14:paraId="639BE08D" w14:textId="77777777" w:rsidR="000D193C" w:rsidRDefault="000D193C" w:rsidP="001257A2"/>
        </w:tc>
        <w:tc>
          <w:tcPr>
            <w:tcW w:w="3934" w:type="dxa"/>
          </w:tcPr>
          <w:p w14:paraId="6E02689F" w14:textId="77777777" w:rsidR="000D193C" w:rsidRDefault="000D193C" w:rsidP="001257A2"/>
        </w:tc>
      </w:tr>
      <w:tr w:rsidR="000D193C" w14:paraId="12DADEE8" w14:textId="77777777" w:rsidTr="001257A2">
        <w:tc>
          <w:tcPr>
            <w:tcW w:w="562" w:type="dxa"/>
          </w:tcPr>
          <w:p w14:paraId="2BA1BAB9" w14:textId="77777777" w:rsidR="000D193C" w:rsidRDefault="0040761E" w:rsidP="001257A2">
            <w:pPr>
              <w:jc w:val="center"/>
            </w:pPr>
            <w:r>
              <w:lastRenderedPageBreak/>
              <w:t>5</w:t>
            </w:r>
          </w:p>
        </w:tc>
        <w:tc>
          <w:tcPr>
            <w:tcW w:w="4536" w:type="dxa"/>
          </w:tcPr>
          <w:p w14:paraId="7685178E" w14:textId="77777777" w:rsidR="000D193C" w:rsidRDefault="0006296D" w:rsidP="008C4316">
            <w:r w:rsidRPr="0006296D">
              <w:rPr>
                <w:b/>
              </w:rPr>
              <w:t>Możliwość złożenia wniosku o potwierdzenie osobie zmarłej statusu działacza nie tylko przez członków rodzin</w:t>
            </w:r>
            <w:r>
              <w:rPr>
                <w:b/>
              </w:rPr>
              <w:t>y</w:t>
            </w:r>
            <w:r w:rsidRPr="0006296D">
              <w:rPr>
                <w:b/>
              </w:rPr>
              <w:t>, ale i przez organizacje społeczne.</w:t>
            </w:r>
          </w:p>
        </w:tc>
        <w:tc>
          <w:tcPr>
            <w:tcW w:w="3544" w:type="dxa"/>
          </w:tcPr>
          <w:p w14:paraId="6AE5A64F" w14:textId="77777777" w:rsidR="003E66F0" w:rsidRDefault="003E66F0" w:rsidP="008C4316">
            <w:r>
              <w:t xml:space="preserve">- wnioskodawcy uzasadniają to chęcią upamiętnienia działalności danej osoby w sytuacji, kiedy nie ma </w:t>
            </w:r>
            <w:r w:rsidR="00B34374">
              <w:t xml:space="preserve">już żyjących członków </w:t>
            </w:r>
            <w:r>
              <w:t xml:space="preserve">rodziny lub nie </w:t>
            </w:r>
            <w:r w:rsidR="00B34374">
              <w:t>sa oni</w:t>
            </w:r>
            <w:r>
              <w:t xml:space="preserve"> zainteresowan</w:t>
            </w:r>
            <w:r w:rsidR="00B34374">
              <w:t>i</w:t>
            </w:r>
            <w:r>
              <w:t xml:space="preserve"> takim upamiętnieniem.</w:t>
            </w:r>
          </w:p>
          <w:p w14:paraId="072A0B21" w14:textId="77777777" w:rsidR="0040761E" w:rsidRDefault="0040761E" w:rsidP="008C4316">
            <w:r>
              <w:t>- wątpliwości proceduralne – stroną w postepowaniu administracyjnym jest „każdy, czyjego interesu prawnego dotyczy postępowanie”</w:t>
            </w:r>
            <w:r w:rsidR="00AF0B30">
              <w:t>.</w:t>
            </w:r>
            <w:r>
              <w:t xml:space="preserve"> </w:t>
            </w:r>
            <w:r w:rsidR="00AF0B30">
              <w:t>O</w:t>
            </w:r>
            <w:r>
              <w:t xml:space="preserve"> ile w przypadku rodziny taki interes da się </w:t>
            </w:r>
            <w:r w:rsidR="00AF0B30">
              <w:t xml:space="preserve">jakoś </w:t>
            </w:r>
            <w:r>
              <w:t>zidentyfikować, to w przypadku organizacji społecznej, z którą zmarły nie musiał mieć nic wspólnego, wskazanie takiego interesu jest znacznie trudniejsze.</w:t>
            </w:r>
          </w:p>
          <w:p w14:paraId="72F9B026" w14:textId="77777777" w:rsidR="00B34374" w:rsidRDefault="003E66F0" w:rsidP="008C4316">
            <w:r>
              <w:lastRenderedPageBreak/>
              <w:t xml:space="preserve">- </w:t>
            </w:r>
            <w:r w:rsidR="0040761E">
              <w:t xml:space="preserve">można </w:t>
            </w:r>
            <w:r w:rsidR="00AF0B30">
              <w:t xml:space="preserve">też </w:t>
            </w:r>
            <w:r w:rsidR="0040761E">
              <w:t>argumentować, że n</w:t>
            </w:r>
            <w:r w:rsidR="0006296D" w:rsidRPr="0006296D">
              <w:t xml:space="preserve">ajwłaściwszym depozytariuszem pamięci o osobach zmarłych są członkowie ich rodzin i to oni powinni </w:t>
            </w:r>
            <w:r w:rsidR="00B34374">
              <w:t>zachować</w:t>
            </w:r>
            <w:r w:rsidR="0006296D" w:rsidRPr="0006296D">
              <w:t xml:space="preserve"> prawo do złożenia wniosku o formalne potwierdzenie statusu dla osoby zmarłej. Krąg rodziny ujęty jest bardzo szeroko, więc </w:t>
            </w:r>
            <w:r w:rsidR="00B34374">
              <w:t>jest małe ryzyko</w:t>
            </w:r>
            <w:r w:rsidR="0006296D" w:rsidRPr="0006296D">
              <w:t xml:space="preserve">, że nie ma już żyjących osób, które mogłyby się zwrócić o potwierdzenie statusu osobie zmarłej przez Szefa UdSKiOR. </w:t>
            </w:r>
          </w:p>
          <w:p w14:paraId="6FE7A6BA" w14:textId="77777777" w:rsidR="00B34374" w:rsidRDefault="00B34374" w:rsidP="008C4316">
            <w:r>
              <w:t>- proponowane rozwiązanie grozi powstaniem konfliktu rodzina vs. organizacja społeczna – rodzina może z różnych względów nie chcieć prowadzenia takiego postępowania</w:t>
            </w:r>
          </w:p>
          <w:p w14:paraId="24F41067" w14:textId="77777777" w:rsidR="0006296D" w:rsidRPr="0006296D" w:rsidRDefault="00B34374" w:rsidP="008C4316">
            <w:r>
              <w:t xml:space="preserve">- </w:t>
            </w:r>
            <w:r w:rsidR="0006296D" w:rsidRPr="0006296D">
              <w:t>zasoby kadrowe Urzędu są ograniczone i zwiększenie liczby prowadzonych postępowań w przypadku poszerzenia kręgu wnioskodawców o organizacje społeczne może się odbić na szybkości załatwiania spraw osób jeszcze żyjących – a to one powinny być priorytetem.</w:t>
            </w:r>
          </w:p>
          <w:p w14:paraId="4226095F" w14:textId="77777777" w:rsidR="000D193C" w:rsidRDefault="000D193C" w:rsidP="008C4316"/>
        </w:tc>
        <w:tc>
          <w:tcPr>
            <w:tcW w:w="1418" w:type="dxa"/>
          </w:tcPr>
          <w:p w14:paraId="48426611" w14:textId="77777777" w:rsidR="000D193C" w:rsidRDefault="000D193C" w:rsidP="001257A2"/>
        </w:tc>
        <w:tc>
          <w:tcPr>
            <w:tcW w:w="3934" w:type="dxa"/>
          </w:tcPr>
          <w:p w14:paraId="36526AE0" w14:textId="77777777" w:rsidR="000D193C" w:rsidRDefault="000D193C" w:rsidP="001257A2"/>
        </w:tc>
      </w:tr>
      <w:tr w:rsidR="000D193C" w14:paraId="6EA5C22F" w14:textId="77777777" w:rsidTr="001257A2">
        <w:tc>
          <w:tcPr>
            <w:tcW w:w="562" w:type="dxa"/>
          </w:tcPr>
          <w:p w14:paraId="71A6215A" w14:textId="77777777" w:rsidR="000D193C" w:rsidRDefault="0040761E" w:rsidP="001257A2">
            <w:pPr>
              <w:jc w:val="center"/>
            </w:pPr>
            <w:r>
              <w:lastRenderedPageBreak/>
              <w:t>6</w:t>
            </w:r>
          </w:p>
        </w:tc>
        <w:tc>
          <w:tcPr>
            <w:tcW w:w="4536" w:type="dxa"/>
          </w:tcPr>
          <w:p w14:paraId="0D5A66F2" w14:textId="77777777" w:rsidR="00647F4D" w:rsidRPr="00647F4D" w:rsidRDefault="00647F4D" w:rsidP="008C4316">
            <w:pPr>
              <w:rPr>
                <w:b/>
              </w:rPr>
            </w:pPr>
            <w:r w:rsidRPr="00647F4D">
              <w:rPr>
                <w:b/>
              </w:rPr>
              <w:t>Osoby odznaczone Krzyżem Wolności i Solidarności powinny automatycznie nabywać status działacza opozycji antykomunistycznej.</w:t>
            </w:r>
          </w:p>
          <w:p w14:paraId="602BFF18" w14:textId="77777777" w:rsidR="000D193C" w:rsidRDefault="000D193C" w:rsidP="008C4316"/>
        </w:tc>
        <w:tc>
          <w:tcPr>
            <w:tcW w:w="3544" w:type="dxa"/>
          </w:tcPr>
          <w:p w14:paraId="12E629DE" w14:textId="77777777" w:rsidR="00647F4D" w:rsidRDefault="00647F4D" w:rsidP="008C4316">
            <w:bookmarkStart w:id="1" w:name="_Hlk185591768"/>
            <w:r>
              <w:t>- ustawowe</w:t>
            </w:r>
            <w:r w:rsidRPr="00647F4D">
              <w:t xml:space="preserve"> warunki pozwalające uhonorować kogoś KWiS są nieco inne niż warunki, których spełnienie jest konieczne</w:t>
            </w:r>
            <w:r>
              <w:t>,</w:t>
            </w:r>
            <w:r w:rsidRPr="00647F4D">
              <w:t xml:space="preserve"> by otrzymać status,</w:t>
            </w:r>
          </w:p>
          <w:p w14:paraId="22E0DD93" w14:textId="77777777" w:rsidR="00647F4D" w:rsidRPr="00647F4D" w:rsidRDefault="00647F4D" w:rsidP="008C4316">
            <w:r>
              <w:t>-</w:t>
            </w:r>
            <w:r w:rsidRPr="00647F4D">
              <w:t xml:space="preserve"> postępowanie odznaczeniowe jest prowadzone w mniej sformalizowanych warunkach niż t</w:t>
            </w:r>
            <w:r>
              <w:t>o</w:t>
            </w:r>
            <w:r w:rsidRPr="00647F4D">
              <w:t xml:space="preserve"> prowadzone przez Urząd (np. świadkowie w tym pierwszym nie odpowiadają karnie za podanie nieprawdy). Dlatego niewskazane</w:t>
            </w:r>
            <w:r w:rsidR="00AF0B30">
              <w:t xml:space="preserve"> zdaniem Urzędu</w:t>
            </w:r>
            <w:r w:rsidRPr="00647F4D">
              <w:t xml:space="preserve"> jest, by </w:t>
            </w:r>
            <w:r>
              <w:t>rezultat</w:t>
            </w:r>
            <w:r w:rsidRPr="00647F4D">
              <w:t xml:space="preserve"> takiego postępowania odznaczeniowego</w:t>
            </w:r>
            <w:r>
              <w:t xml:space="preserve"> prowadzonego przez inne podmioty</w:t>
            </w:r>
            <w:r w:rsidRPr="00647F4D">
              <w:t xml:space="preserve"> wiązał Szefa UdSKiOR.</w:t>
            </w:r>
          </w:p>
          <w:bookmarkEnd w:id="1"/>
          <w:p w14:paraId="27A12586" w14:textId="77777777" w:rsidR="000D193C" w:rsidRDefault="000D193C" w:rsidP="008C4316"/>
        </w:tc>
        <w:tc>
          <w:tcPr>
            <w:tcW w:w="1418" w:type="dxa"/>
          </w:tcPr>
          <w:p w14:paraId="6C294657" w14:textId="77777777" w:rsidR="000D193C" w:rsidRDefault="000D193C" w:rsidP="001257A2"/>
        </w:tc>
        <w:tc>
          <w:tcPr>
            <w:tcW w:w="3934" w:type="dxa"/>
          </w:tcPr>
          <w:p w14:paraId="067C6E72" w14:textId="77777777" w:rsidR="000D193C" w:rsidRDefault="000D193C" w:rsidP="001257A2"/>
        </w:tc>
      </w:tr>
      <w:tr w:rsidR="000D193C" w14:paraId="00EF708B" w14:textId="77777777" w:rsidTr="001257A2">
        <w:tc>
          <w:tcPr>
            <w:tcW w:w="562" w:type="dxa"/>
          </w:tcPr>
          <w:p w14:paraId="68177CCF" w14:textId="77777777" w:rsidR="000D193C" w:rsidRDefault="00455A9C" w:rsidP="001257A2">
            <w:pPr>
              <w:jc w:val="center"/>
            </w:pPr>
            <w:r>
              <w:t>7</w:t>
            </w:r>
          </w:p>
        </w:tc>
        <w:tc>
          <w:tcPr>
            <w:tcW w:w="4536" w:type="dxa"/>
          </w:tcPr>
          <w:p w14:paraId="681BF53A" w14:textId="77777777" w:rsidR="000D193C" w:rsidRDefault="0040761E" w:rsidP="008C4316">
            <w:r w:rsidRPr="0040761E">
              <w:rPr>
                <w:b/>
              </w:rPr>
              <w:t>Ustanowienie „</w:t>
            </w:r>
            <w:r w:rsidR="00455A9C">
              <w:rPr>
                <w:b/>
              </w:rPr>
              <w:t>M</w:t>
            </w:r>
            <w:r w:rsidRPr="0040761E">
              <w:rPr>
                <w:b/>
              </w:rPr>
              <w:t xml:space="preserve">edalu </w:t>
            </w:r>
            <w:r w:rsidR="00455A9C">
              <w:rPr>
                <w:b/>
              </w:rPr>
              <w:t>W</w:t>
            </w:r>
            <w:r w:rsidRPr="0040761E">
              <w:rPr>
                <w:b/>
              </w:rPr>
              <w:t>dzięczności”</w:t>
            </w:r>
          </w:p>
        </w:tc>
        <w:tc>
          <w:tcPr>
            <w:tcW w:w="3544" w:type="dxa"/>
          </w:tcPr>
          <w:p w14:paraId="139B9EB8" w14:textId="77777777" w:rsidR="000D193C" w:rsidRDefault="0040761E" w:rsidP="008C4316">
            <w:r>
              <w:t xml:space="preserve">- </w:t>
            </w:r>
            <w:r w:rsidR="005A231F">
              <w:t xml:space="preserve">wątpliwość, </w:t>
            </w:r>
            <w:r>
              <w:t>czy wobec funkcjonowania Krzyża Wolności i Solidarności potrzebne jest jeszcze jedno odznaczenie przyznawane za taka samą działalność</w:t>
            </w:r>
            <w:r w:rsidR="005A231F">
              <w:t>.</w:t>
            </w:r>
          </w:p>
          <w:p w14:paraId="5424BADB" w14:textId="77777777" w:rsidR="006F5CCD" w:rsidRDefault="006F5CCD" w:rsidP="008C4316">
            <w:r>
              <w:t>-ew., aby nie powielać roli KWiS, medal musiałby być znacznie częściej nadawany. Według jakich kryteriów?</w:t>
            </w:r>
          </w:p>
        </w:tc>
        <w:tc>
          <w:tcPr>
            <w:tcW w:w="1418" w:type="dxa"/>
          </w:tcPr>
          <w:p w14:paraId="20213E60" w14:textId="77777777" w:rsidR="000D193C" w:rsidRDefault="000D193C" w:rsidP="001257A2"/>
        </w:tc>
        <w:tc>
          <w:tcPr>
            <w:tcW w:w="3934" w:type="dxa"/>
          </w:tcPr>
          <w:p w14:paraId="3662A20C" w14:textId="77777777" w:rsidR="000D193C" w:rsidRDefault="000D193C" w:rsidP="001257A2"/>
        </w:tc>
      </w:tr>
      <w:tr w:rsidR="00455A9C" w14:paraId="37B019D5" w14:textId="77777777" w:rsidTr="001257A2">
        <w:tc>
          <w:tcPr>
            <w:tcW w:w="562" w:type="dxa"/>
          </w:tcPr>
          <w:p w14:paraId="7CBD313A" w14:textId="77777777" w:rsidR="00455A9C" w:rsidRDefault="00455A9C" w:rsidP="001257A2">
            <w:pPr>
              <w:jc w:val="center"/>
            </w:pPr>
            <w:r>
              <w:lastRenderedPageBreak/>
              <w:t>8</w:t>
            </w:r>
          </w:p>
        </w:tc>
        <w:tc>
          <w:tcPr>
            <w:tcW w:w="4536" w:type="dxa"/>
          </w:tcPr>
          <w:p w14:paraId="011668C6" w14:textId="77777777" w:rsidR="00455A9C" w:rsidRPr="00455A9C" w:rsidRDefault="00455A9C" w:rsidP="008C4316">
            <w:pPr>
              <w:rPr>
                <w:b/>
              </w:rPr>
            </w:pPr>
            <w:r w:rsidRPr="00455A9C">
              <w:rPr>
                <w:b/>
              </w:rPr>
              <w:t>Ustanowienie emblematu do umieszczenia na grobie działacza opozycji antykomunistycznej przez członków rodziny</w:t>
            </w:r>
          </w:p>
          <w:p w14:paraId="53BE25C2" w14:textId="77777777" w:rsidR="00455A9C" w:rsidRPr="0040761E" w:rsidRDefault="00455A9C" w:rsidP="008C4316">
            <w:pPr>
              <w:rPr>
                <w:b/>
              </w:rPr>
            </w:pPr>
          </w:p>
        </w:tc>
        <w:tc>
          <w:tcPr>
            <w:tcW w:w="3544" w:type="dxa"/>
          </w:tcPr>
          <w:p w14:paraId="40BB554D" w14:textId="77777777" w:rsidR="00455A9C" w:rsidRDefault="00455A9C" w:rsidP="008C4316">
            <w:r>
              <w:t xml:space="preserve">- </w:t>
            </w:r>
            <w:r w:rsidR="005A231F">
              <w:t xml:space="preserve">tego rodzaju </w:t>
            </w:r>
            <w:r>
              <w:t>emblematy</w:t>
            </w:r>
            <w:r w:rsidR="005A231F">
              <w:t>, wydawane przez IPN,</w:t>
            </w:r>
            <w:r>
              <w:t xml:space="preserve"> umieszczane są na grobach kombatantów </w:t>
            </w:r>
          </w:p>
        </w:tc>
        <w:tc>
          <w:tcPr>
            <w:tcW w:w="1418" w:type="dxa"/>
          </w:tcPr>
          <w:p w14:paraId="6DC43766" w14:textId="77777777" w:rsidR="00455A9C" w:rsidRDefault="00455A9C" w:rsidP="001257A2"/>
        </w:tc>
        <w:tc>
          <w:tcPr>
            <w:tcW w:w="3934" w:type="dxa"/>
          </w:tcPr>
          <w:p w14:paraId="1B8E2863" w14:textId="77777777" w:rsidR="00455A9C" w:rsidRDefault="00455A9C" w:rsidP="001257A2"/>
        </w:tc>
      </w:tr>
      <w:tr w:rsidR="00907B59" w14:paraId="25B86615" w14:textId="77777777" w:rsidTr="001257A2">
        <w:tc>
          <w:tcPr>
            <w:tcW w:w="562" w:type="dxa"/>
          </w:tcPr>
          <w:p w14:paraId="79DBDF3C" w14:textId="77777777" w:rsidR="00907B59" w:rsidRDefault="00907B59" w:rsidP="001257A2">
            <w:pPr>
              <w:jc w:val="center"/>
            </w:pPr>
            <w:r>
              <w:t>9</w:t>
            </w:r>
          </w:p>
        </w:tc>
        <w:tc>
          <w:tcPr>
            <w:tcW w:w="4536" w:type="dxa"/>
          </w:tcPr>
          <w:p w14:paraId="030FFF5B" w14:textId="77777777" w:rsidR="00907B59" w:rsidRPr="00455A9C" w:rsidRDefault="00907B59" w:rsidP="008C4316">
            <w:pPr>
              <w:rPr>
                <w:b/>
              </w:rPr>
            </w:pPr>
            <w:r w:rsidRPr="00907B59">
              <w:rPr>
                <w:b/>
              </w:rPr>
              <w:t>Wprowadzenie do aplikacji mObywatel legitymacji działacza opozycji antykomunistycznej i osoby represjonowanej z powodów politycznych</w:t>
            </w:r>
          </w:p>
        </w:tc>
        <w:tc>
          <w:tcPr>
            <w:tcW w:w="3544" w:type="dxa"/>
          </w:tcPr>
          <w:p w14:paraId="17C3F198" w14:textId="77777777" w:rsidR="00907B59" w:rsidRDefault="006F5CCD" w:rsidP="008C4316">
            <w:r>
              <w:t xml:space="preserve">- </w:t>
            </w:r>
            <w:r w:rsidR="002215BB">
              <w:t>tego typu regulacja znacznie uprości korzystanie z legitymacji</w:t>
            </w:r>
          </w:p>
        </w:tc>
        <w:tc>
          <w:tcPr>
            <w:tcW w:w="1418" w:type="dxa"/>
          </w:tcPr>
          <w:p w14:paraId="53181C27" w14:textId="77777777" w:rsidR="00907B59" w:rsidRDefault="00907B59" w:rsidP="001257A2"/>
        </w:tc>
        <w:tc>
          <w:tcPr>
            <w:tcW w:w="3934" w:type="dxa"/>
          </w:tcPr>
          <w:p w14:paraId="5EFCDD08" w14:textId="77777777" w:rsidR="00907B59" w:rsidRDefault="00907B59" w:rsidP="001257A2"/>
        </w:tc>
      </w:tr>
      <w:tr w:rsidR="00907B59" w14:paraId="5ED48978" w14:textId="77777777" w:rsidTr="001257A2">
        <w:tc>
          <w:tcPr>
            <w:tcW w:w="562" w:type="dxa"/>
          </w:tcPr>
          <w:p w14:paraId="2E30F5DE" w14:textId="77777777" w:rsidR="00907B59" w:rsidRDefault="00907B59" w:rsidP="001257A2">
            <w:pPr>
              <w:jc w:val="center"/>
            </w:pPr>
            <w:r>
              <w:t>10</w:t>
            </w:r>
          </w:p>
        </w:tc>
        <w:tc>
          <w:tcPr>
            <w:tcW w:w="4536" w:type="dxa"/>
          </w:tcPr>
          <w:p w14:paraId="27550F01" w14:textId="77777777" w:rsidR="00907B59" w:rsidRPr="00907B59" w:rsidRDefault="00907B59" w:rsidP="008C4316">
            <w:pPr>
              <w:rPr>
                <w:b/>
              </w:rPr>
            </w:pPr>
            <w:r w:rsidRPr="00907B59">
              <w:rPr>
                <w:b/>
              </w:rPr>
              <w:t>Dofinansowanie działalności stowarzyszeń działaczy opozycji</w:t>
            </w:r>
          </w:p>
        </w:tc>
        <w:tc>
          <w:tcPr>
            <w:tcW w:w="3544" w:type="dxa"/>
          </w:tcPr>
          <w:p w14:paraId="052D6C8A" w14:textId="77777777" w:rsidR="00907B59" w:rsidRDefault="00907B59" w:rsidP="008C4316">
            <w:r>
              <w:t>- obecnie</w:t>
            </w:r>
            <w:r w:rsidRPr="00907B59">
              <w:t xml:space="preserve"> system wsparcia pozwala dofinansować konkretne przedsięwzięcia organizowane przez takie stowarzyszenia – czy to poprzez dotację, czy to poprzez</w:t>
            </w:r>
            <w:r>
              <w:t xml:space="preserve"> ich</w:t>
            </w:r>
            <w:r w:rsidRPr="00907B59">
              <w:t xml:space="preserve"> współorganizację z Urzędem.</w:t>
            </w:r>
          </w:p>
          <w:p w14:paraId="3AA98F13" w14:textId="77777777" w:rsidR="00907B59" w:rsidRPr="00907B59" w:rsidRDefault="00907B59" w:rsidP="008C4316">
            <w:r>
              <w:t>- trudno byłoby opracować racjonalny system takiego wsparcia – w zależności od liczby członków</w:t>
            </w:r>
            <w:r w:rsidR="009C69A1">
              <w:t>? (problem z weryfikacją)</w:t>
            </w:r>
          </w:p>
          <w:p w14:paraId="15E29470" w14:textId="77777777" w:rsidR="00907B59" w:rsidRDefault="00907B59" w:rsidP="008C4316"/>
        </w:tc>
        <w:tc>
          <w:tcPr>
            <w:tcW w:w="1418" w:type="dxa"/>
          </w:tcPr>
          <w:p w14:paraId="30653992" w14:textId="77777777" w:rsidR="00907B59" w:rsidRDefault="00907B59" w:rsidP="001257A2"/>
        </w:tc>
        <w:tc>
          <w:tcPr>
            <w:tcW w:w="3934" w:type="dxa"/>
          </w:tcPr>
          <w:p w14:paraId="365E6850" w14:textId="77777777" w:rsidR="00907B59" w:rsidRDefault="00907B59" w:rsidP="001257A2"/>
        </w:tc>
      </w:tr>
      <w:tr w:rsidR="009C69A1" w14:paraId="43784CD4" w14:textId="77777777" w:rsidTr="001257A2">
        <w:tc>
          <w:tcPr>
            <w:tcW w:w="562" w:type="dxa"/>
          </w:tcPr>
          <w:p w14:paraId="1AAABA94" w14:textId="77777777" w:rsidR="009C69A1" w:rsidRDefault="009C69A1" w:rsidP="001257A2">
            <w:pPr>
              <w:jc w:val="center"/>
            </w:pPr>
            <w:r>
              <w:t>11</w:t>
            </w:r>
          </w:p>
        </w:tc>
        <w:tc>
          <w:tcPr>
            <w:tcW w:w="4536" w:type="dxa"/>
          </w:tcPr>
          <w:p w14:paraId="22C48E84" w14:textId="77777777" w:rsidR="009C69A1" w:rsidRPr="009C69A1" w:rsidRDefault="009C69A1" w:rsidP="008C4316">
            <w:pPr>
              <w:rPr>
                <w:b/>
              </w:rPr>
            </w:pPr>
            <w:r w:rsidRPr="009C69A1">
              <w:rPr>
                <w:b/>
              </w:rPr>
              <w:t>Zmian</w:t>
            </w:r>
            <w:r>
              <w:rPr>
                <w:b/>
              </w:rPr>
              <w:t>a</w:t>
            </w:r>
            <w:r w:rsidRPr="009C69A1">
              <w:rPr>
                <w:b/>
              </w:rPr>
              <w:t xml:space="preserve"> terminologii </w:t>
            </w:r>
            <w:r>
              <w:rPr>
                <w:b/>
              </w:rPr>
              <w:t xml:space="preserve">w ustawie </w:t>
            </w:r>
            <w:r w:rsidRPr="005A231F">
              <w:rPr>
                <w:b/>
                <w:i/>
              </w:rPr>
              <w:t>o działaczach</w:t>
            </w:r>
            <w:r w:rsidR="005A231F">
              <w:rPr>
                <w:b/>
                <w:i/>
              </w:rPr>
              <w:t>…</w:t>
            </w:r>
            <w:r>
              <w:rPr>
                <w:b/>
              </w:rPr>
              <w:t>:</w:t>
            </w:r>
          </w:p>
          <w:p w14:paraId="699C341E" w14:textId="77777777" w:rsidR="009C69A1" w:rsidRPr="009C69A1" w:rsidRDefault="009C69A1" w:rsidP="008C4316">
            <w:pPr>
              <w:rPr>
                <w:b/>
              </w:rPr>
            </w:pPr>
            <w:r w:rsidRPr="009C69A1">
              <w:rPr>
                <w:b/>
              </w:rPr>
              <w:t>określenia „opozycja antykomunistyczna” na „ruchy wolnościowe”, zmianę nazwy Krzyża</w:t>
            </w:r>
          </w:p>
          <w:p w14:paraId="28885EC2" w14:textId="77777777" w:rsidR="009C69A1" w:rsidRPr="009C69A1" w:rsidRDefault="009C69A1" w:rsidP="008C4316">
            <w:pPr>
              <w:rPr>
                <w:b/>
              </w:rPr>
            </w:pPr>
            <w:r w:rsidRPr="009C69A1">
              <w:rPr>
                <w:b/>
              </w:rPr>
              <w:t>Wolności i Solidarności na Krzyż Wolności i Suwerenności oraz zmianę terminu „osoby</w:t>
            </w:r>
          </w:p>
          <w:p w14:paraId="12A7F59F" w14:textId="77777777" w:rsidR="009C69A1" w:rsidRPr="00907B59" w:rsidRDefault="009C69A1" w:rsidP="008C4316">
            <w:pPr>
              <w:rPr>
                <w:b/>
              </w:rPr>
            </w:pPr>
            <w:r w:rsidRPr="009C69A1">
              <w:rPr>
                <w:b/>
              </w:rPr>
              <w:t>represjonowane” na „osoby prześladowane”</w:t>
            </w:r>
          </w:p>
        </w:tc>
        <w:tc>
          <w:tcPr>
            <w:tcW w:w="3544" w:type="dxa"/>
          </w:tcPr>
          <w:p w14:paraId="508690A1" w14:textId="77777777" w:rsidR="009C69A1" w:rsidRDefault="009C69A1" w:rsidP="008C4316">
            <w:r>
              <w:t>Szerokie uzasadnienie tych propozycji zawarte jest w załączniku.</w:t>
            </w:r>
          </w:p>
          <w:p w14:paraId="55674F59" w14:textId="77777777" w:rsidR="009C69A1" w:rsidRDefault="009C69A1" w:rsidP="008C4316"/>
        </w:tc>
        <w:tc>
          <w:tcPr>
            <w:tcW w:w="1418" w:type="dxa"/>
          </w:tcPr>
          <w:p w14:paraId="775BE185" w14:textId="77777777" w:rsidR="009C69A1" w:rsidRDefault="009C69A1" w:rsidP="001257A2"/>
        </w:tc>
        <w:tc>
          <w:tcPr>
            <w:tcW w:w="3934" w:type="dxa"/>
          </w:tcPr>
          <w:p w14:paraId="1AE7A381" w14:textId="77777777" w:rsidR="009C69A1" w:rsidRDefault="009C69A1" w:rsidP="001257A2"/>
        </w:tc>
      </w:tr>
      <w:tr w:rsidR="005A231F" w14:paraId="3859428C" w14:textId="77777777" w:rsidTr="001257A2">
        <w:tc>
          <w:tcPr>
            <w:tcW w:w="562" w:type="dxa"/>
          </w:tcPr>
          <w:p w14:paraId="792826FF" w14:textId="77777777" w:rsidR="005A231F" w:rsidRDefault="005A231F" w:rsidP="001257A2">
            <w:pPr>
              <w:jc w:val="center"/>
            </w:pPr>
            <w:r>
              <w:lastRenderedPageBreak/>
              <w:t>12</w:t>
            </w:r>
          </w:p>
        </w:tc>
        <w:tc>
          <w:tcPr>
            <w:tcW w:w="4536" w:type="dxa"/>
          </w:tcPr>
          <w:p w14:paraId="146CF781" w14:textId="77777777" w:rsidR="005A231F" w:rsidRPr="005A231F" w:rsidRDefault="005A231F" w:rsidP="008C4316">
            <w:pPr>
              <w:rPr>
                <w:b/>
              </w:rPr>
            </w:pPr>
            <w:bookmarkStart w:id="2" w:name="_Hlk185597320"/>
            <w:r w:rsidRPr="005A231F">
              <w:rPr>
                <w:b/>
              </w:rPr>
              <w:t xml:space="preserve">Przyznanie prawa do świadczenia dla wdów/wdowców pozostałych po działaczach opozycji antykomunistycznej oraz osobach represjonowanych politycznie. </w:t>
            </w:r>
          </w:p>
          <w:bookmarkEnd w:id="2"/>
          <w:p w14:paraId="335FD4E0" w14:textId="77777777" w:rsidR="005A231F" w:rsidRPr="009C69A1" w:rsidRDefault="005A231F" w:rsidP="008C4316">
            <w:pPr>
              <w:rPr>
                <w:b/>
              </w:rPr>
            </w:pPr>
          </w:p>
        </w:tc>
        <w:tc>
          <w:tcPr>
            <w:tcW w:w="3544" w:type="dxa"/>
          </w:tcPr>
          <w:p w14:paraId="7E765403" w14:textId="77777777" w:rsidR="00A17B46" w:rsidRDefault="00A17B46" w:rsidP="008C4316">
            <w:r>
              <w:t>Uprawnienie analogiczne z tym, jakie mają wdowy po kombatantach i osobach represjonowanych z ustawy kombatanckiej…</w:t>
            </w:r>
          </w:p>
          <w:p w14:paraId="1C81F19A" w14:textId="77777777" w:rsidR="00A17B46" w:rsidRDefault="00A17B46" w:rsidP="008C4316">
            <w:r>
              <w:t>Dylemat</w:t>
            </w:r>
            <w:r w:rsidR="00AF0B30">
              <w:t xml:space="preserve"> główny: jaka powinna być </w:t>
            </w:r>
            <w:r>
              <w:t xml:space="preserve">wysokość takiego świadczenia </w:t>
            </w:r>
            <w:r w:rsidR="00AF0B30">
              <w:t>(</w:t>
            </w:r>
            <w:r>
              <w:t xml:space="preserve">zwłaszcza w odniesieniu do świadczeń więźniów obozów niemieckich i sowieckich, Sybiraków itp. </w:t>
            </w:r>
            <w:r w:rsidR="00AF0B30">
              <w:t xml:space="preserve">, którzy dostają </w:t>
            </w:r>
            <w:r>
              <w:t>ok. 560 zł)</w:t>
            </w:r>
          </w:p>
        </w:tc>
        <w:tc>
          <w:tcPr>
            <w:tcW w:w="1418" w:type="dxa"/>
          </w:tcPr>
          <w:p w14:paraId="401E53D2" w14:textId="77777777" w:rsidR="005A231F" w:rsidRDefault="005A231F" w:rsidP="001257A2"/>
        </w:tc>
        <w:tc>
          <w:tcPr>
            <w:tcW w:w="3934" w:type="dxa"/>
          </w:tcPr>
          <w:p w14:paraId="668285F0" w14:textId="77777777" w:rsidR="005A231F" w:rsidRDefault="005A231F" w:rsidP="001257A2"/>
        </w:tc>
      </w:tr>
      <w:tr w:rsidR="00A17B46" w14:paraId="7305D76C" w14:textId="77777777" w:rsidTr="001257A2">
        <w:tc>
          <w:tcPr>
            <w:tcW w:w="562" w:type="dxa"/>
          </w:tcPr>
          <w:p w14:paraId="535AC016" w14:textId="77777777" w:rsidR="00A17B46" w:rsidRDefault="00A17B46" w:rsidP="001257A2">
            <w:pPr>
              <w:jc w:val="center"/>
            </w:pPr>
            <w:r>
              <w:t>13</w:t>
            </w:r>
          </w:p>
        </w:tc>
        <w:tc>
          <w:tcPr>
            <w:tcW w:w="4536" w:type="dxa"/>
          </w:tcPr>
          <w:p w14:paraId="5B87F3EB" w14:textId="77777777" w:rsidR="00A17B46" w:rsidRPr="005A231F" w:rsidRDefault="00A17B46" w:rsidP="008C4316">
            <w:pPr>
              <w:rPr>
                <w:b/>
              </w:rPr>
            </w:pPr>
            <w:r w:rsidRPr="00A17B46">
              <w:rPr>
                <w:b/>
              </w:rPr>
              <w:t xml:space="preserve">Przyznanie małżonkom </w:t>
            </w:r>
            <w:r w:rsidRPr="00A17B46">
              <w:rPr>
                <w:b/>
                <w:u w:val="single"/>
              </w:rPr>
              <w:t>żyjących</w:t>
            </w:r>
            <w:r w:rsidRPr="00A17B46">
              <w:rPr>
                <w:b/>
              </w:rPr>
              <w:t xml:space="preserve"> działaczy opozycji antykomunistycznej świadczenia pieniężnego – analogicznie jak ich mężom</w:t>
            </w:r>
            <w:r>
              <w:rPr>
                <w:b/>
              </w:rPr>
              <w:t>/żonom</w:t>
            </w:r>
            <w:r w:rsidRPr="00A17B46">
              <w:rPr>
                <w:b/>
              </w:rPr>
              <w:t>.</w:t>
            </w:r>
          </w:p>
        </w:tc>
        <w:tc>
          <w:tcPr>
            <w:tcW w:w="3544" w:type="dxa"/>
          </w:tcPr>
          <w:p w14:paraId="09A555BE" w14:textId="77777777" w:rsidR="00A17B46" w:rsidRDefault="00A17B46" w:rsidP="008C4316">
            <w:r>
              <w:t xml:space="preserve">- </w:t>
            </w:r>
            <w:r w:rsidRPr="00A17B46">
              <w:t>postulat uzasadniany tym, że bez poświęcenia współmałżonka działacz</w:t>
            </w:r>
            <w:r w:rsidR="001257A2">
              <w:t>(</w:t>
            </w:r>
            <w:r w:rsidR="00AF0B30">
              <w:t>-</w:t>
            </w:r>
            <w:r w:rsidR="001257A2">
              <w:t>ka</w:t>
            </w:r>
            <w:r w:rsidR="00AF0B30">
              <w:t>)</w:t>
            </w:r>
            <w:r w:rsidRPr="00A17B46">
              <w:t xml:space="preserve"> nie m</w:t>
            </w:r>
            <w:r w:rsidR="001257A2">
              <w:t>ogliby</w:t>
            </w:r>
            <w:r w:rsidRPr="00A17B46">
              <w:t xml:space="preserve"> prowadzić swojej działalności niepodległościowej; że współmałżonka również pośrednio dotykały szykany wobec męża-działacza – zwiększenie obowiązków domowych, współudział w przeprowadzanych rewizjach, obniżenie statusu materialnego rodziny itp. </w:t>
            </w:r>
          </w:p>
          <w:p w14:paraId="26D7058F" w14:textId="77777777" w:rsidR="00A17B46" w:rsidRDefault="00A17B46" w:rsidP="008C4316">
            <w:r>
              <w:t>- uwzględnienie tego postulatu oznaczałoby</w:t>
            </w:r>
            <w:r w:rsidRPr="00A17B46">
              <w:t xml:space="preserve"> zrównywanie w uprawnieniach tych prowadzących działalność niepodległościową z małżonkami, którzy takiej </w:t>
            </w:r>
            <w:r w:rsidRPr="00A17B46">
              <w:lastRenderedPageBreak/>
              <w:t xml:space="preserve">działalności nie prowadzili, ale dotykały ich negatywne skutki zaangażowania politycznego męża/żony. </w:t>
            </w:r>
          </w:p>
          <w:p w14:paraId="21FD06E2" w14:textId="77777777" w:rsidR="002215BB" w:rsidRDefault="002215BB" w:rsidP="008C4316">
            <w:r>
              <w:t>- propozycja nie ma precedensu w innych ustawach</w:t>
            </w:r>
          </w:p>
          <w:p w14:paraId="02FDCDF8" w14:textId="77777777" w:rsidR="00A17B46" w:rsidRDefault="00A17B46" w:rsidP="008C4316">
            <w:r>
              <w:t xml:space="preserve">- </w:t>
            </w:r>
            <w:r w:rsidR="001257A2">
              <w:t xml:space="preserve">do rozważenia, </w:t>
            </w:r>
            <w:r>
              <w:t xml:space="preserve">czy </w:t>
            </w:r>
            <w:r w:rsidR="001257A2">
              <w:t>realizacja postulatu 12 nie byłaby wystarczającą formą zadośćuczynienia takim sytuacjom</w:t>
            </w:r>
          </w:p>
        </w:tc>
        <w:tc>
          <w:tcPr>
            <w:tcW w:w="1418" w:type="dxa"/>
          </w:tcPr>
          <w:p w14:paraId="5DD3499B" w14:textId="77777777" w:rsidR="00A17B46" w:rsidRDefault="00A17B46" w:rsidP="001257A2"/>
        </w:tc>
        <w:tc>
          <w:tcPr>
            <w:tcW w:w="3934" w:type="dxa"/>
          </w:tcPr>
          <w:p w14:paraId="0DBBA717" w14:textId="77777777" w:rsidR="00A17B46" w:rsidRDefault="00A17B46" w:rsidP="001257A2"/>
        </w:tc>
      </w:tr>
      <w:tr w:rsidR="001257A2" w14:paraId="58A0C38F" w14:textId="77777777" w:rsidTr="001257A2">
        <w:tc>
          <w:tcPr>
            <w:tcW w:w="562" w:type="dxa"/>
          </w:tcPr>
          <w:p w14:paraId="422641AC" w14:textId="77777777" w:rsidR="001257A2" w:rsidRDefault="001257A2" w:rsidP="001257A2">
            <w:pPr>
              <w:jc w:val="center"/>
            </w:pPr>
            <w:r>
              <w:t>14</w:t>
            </w:r>
          </w:p>
        </w:tc>
        <w:tc>
          <w:tcPr>
            <w:tcW w:w="4536" w:type="dxa"/>
          </w:tcPr>
          <w:p w14:paraId="50B22BA4" w14:textId="77777777" w:rsidR="001257A2" w:rsidRPr="001257A2" w:rsidRDefault="001257A2" w:rsidP="008C4316">
            <w:pPr>
              <w:rPr>
                <w:b/>
              </w:rPr>
            </w:pPr>
            <w:r w:rsidRPr="001257A2">
              <w:rPr>
                <w:b/>
              </w:rPr>
              <w:t>Przyznanie działaczom opozycji, którzy osiągnęli wiek emerytalny, ale nie mają prawa do renty lub emerytury, prawa do tzw. świadczenia wyrównawczego.</w:t>
            </w:r>
          </w:p>
          <w:p w14:paraId="5E410958" w14:textId="77777777" w:rsidR="001257A2" w:rsidRPr="00A17B46" w:rsidRDefault="001257A2" w:rsidP="008C4316">
            <w:pPr>
              <w:rPr>
                <w:b/>
              </w:rPr>
            </w:pPr>
          </w:p>
        </w:tc>
        <w:tc>
          <w:tcPr>
            <w:tcW w:w="3544" w:type="dxa"/>
          </w:tcPr>
          <w:p w14:paraId="00105BD9" w14:textId="77777777" w:rsidR="002215BB" w:rsidRPr="001257A2" w:rsidRDefault="001257A2" w:rsidP="002215BB">
            <w:r>
              <w:t>-</w:t>
            </w:r>
            <w:r w:rsidR="002215BB">
              <w:t xml:space="preserve"> postulat</w:t>
            </w:r>
            <w:r w:rsidR="002215BB" w:rsidRPr="001257A2">
              <w:t xml:space="preserve"> dotyczy </w:t>
            </w:r>
            <w:r w:rsidR="002215BB">
              <w:t xml:space="preserve">głównie </w:t>
            </w:r>
            <w:r w:rsidR="002215BB" w:rsidRPr="001257A2">
              <w:t>osób w tzw. starym systemie emerytalnym. Osoby takie muszą mieć określoną minimalną liczbę lat tzw. okresów składkowych i nieskładkowych, by w ogóle nabyć prawo do emerytury. Jeśli jej nie mają – nie otrzymują w ogóle emerytury</w:t>
            </w:r>
            <w:r w:rsidR="002215BB">
              <w:t xml:space="preserve">, więc nie mogą dostać też świadczenia wyrównawczego </w:t>
            </w:r>
            <w:r w:rsidR="002215BB" w:rsidRPr="001257A2">
              <w:t>(osoby w nowym systemie emerytur kapitałowych, jeśli przepracowały choćby kilka miesięcy, to dostają kilkuzłotową emeryturę</w:t>
            </w:r>
            <w:r w:rsidR="002215BB">
              <w:t>,</w:t>
            </w:r>
            <w:r w:rsidR="002215BB" w:rsidRPr="001257A2">
              <w:t xml:space="preserve"> a świadczenie wyrównawcze dopełnia ją do kwoty 3 415 pln). Zatem de facto </w:t>
            </w:r>
            <w:r w:rsidR="002215BB" w:rsidRPr="001257A2">
              <w:lastRenderedPageBreak/>
              <w:t>wprowadz</w:t>
            </w:r>
            <w:r w:rsidR="002215BB">
              <w:t>ono by</w:t>
            </w:r>
            <w:r w:rsidR="002215BB" w:rsidRPr="001257A2">
              <w:t xml:space="preserve"> dochód minimalny dla działaczy w wieku emerytalnym.</w:t>
            </w:r>
          </w:p>
          <w:p w14:paraId="0EA0565F" w14:textId="77777777" w:rsidR="002215BB" w:rsidRDefault="002215BB" w:rsidP="008C4316"/>
          <w:p w14:paraId="381E3961" w14:textId="77777777" w:rsidR="001257A2" w:rsidRDefault="002215BB" w:rsidP="008C4316">
            <w:r>
              <w:t>-</w:t>
            </w:r>
            <w:r w:rsidR="001257A2">
              <w:t xml:space="preserve"> świadczenie wyrównawcze obecnie gwarantuje, że jeśli działacz ma emeryturę/rentę niższą niż 3415 zł, to dostaje owo świadczenie wyrównawcze właśnie do kwoty 3415 zł.</w:t>
            </w:r>
          </w:p>
          <w:p w14:paraId="7A8C0E94" w14:textId="77777777" w:rsidR="001257A2" w:rsidRDefault="001257A2" w:rsidP="002215BB"/>
        </w:tc>
        <w:tc>
          <w:tcPr>
            <w:tcW w:w="1418" w:type="dxa"/>
          </w:tcPr>
          <w:p w14:paraId="6A18314F" w14:textId="77777777" w:rsidR="001257A2" w:rsidRDefault="001257A2" w:rsidP="001257A2"/>
        </w:tc>
        <w:tc>
          <w:tcPr>
            <w:tcW w:w="3934" w:type="dxa"/>
          </w:tcPr>
          <w:p w14:paraId="3D28931E" w14:textId="77777777" w:rsidR="001257A2" w:rsidRDefault="001257A2" w:rsidP="001257A2"/>
        </w:tc>
      </w:tr>
      <w:tr w:rsidR="00BB4A8F" w14:paraId="2B1CE835" w14:textId="77777777" w:rsidTr="001257A2">
        <w:tc>
          <w:tcPr>
            <w:tcW w:w="562" w:type="dxa"/>
          </w:tcPr>
          <w:p w14:paraId="2A7B20BD" w14:textId="77777777" w:rsidR="00BB4A8F" w:rsidRDefault="00BB4A8F" w:rsidP="001257A2">
            <w:pPr>
              <w:jc w:val="center"/>
            </w:pPr>
            <w:r>
              <w:t>15</w:t>
            </w:r>
          </w:p>
        </w:tc>
        <w:tc>
          <w:tcPr>
            <w:tcW w:w="4536" w:type="dxa"/>
          </w:tcPr>
          <w:p w14:paraId="50A3B9B1" w14:textId="77777777" w:rsidR="00BB4A8F" w:rsidRPr="00BB4A8F" w:rsidRDefault="00BB4A8F" w:rsidP="008C4316">
            <w:pPr>
              <w:rPr>
                <w:b/>
              </w:rPr>
            </w:pPr>
            <w:r w:rsidRPr="00BB4A8F">
              <w:rPr>
                <w:b/>
              </w:rPr>
              <w:t xml:space="preserve">Podwyższenie o 50% (czyli </w:t>
            </w:r>
            <w:r w:rsidR="002215BB">
              <w:rPr>
                <w:b/>
              </w:rPr>
              <w:t xml:space="preserve">obecnie </w:t>
            </w:r>
            <w:r w:rsidRPr="00BB4A8F">
              <w:rPr>
                <w:b/>
              </w:rPr>
              <w:t>do kwoty ok. 5100 zł) świadczenia wyrównawczego dla osób, które zostały relegowane z uczelni</w:t>
            </w:r>
            <w:r>
              <w:rPr>
                <w:b/>
              </w:rPr>
              <w:t>/szkoły</w:t>
            </w:r>
            <w:r w:rsidRPr="00BB4A8F">
              <w:rPr>
                <w:b/>
              </w:rPr>
              <w:t xml:space="preserve"> za działalność niepodległościową </w:t>
            </w:r>
          </w:p>
          <w:p w14:paraId="34179CA2" w14:textId="77777777" w:rsidR="00BB4A8F" w:rsidRPr="001257A2" w:rsidRDefault="00BB4A8F" w:rsidP="008C4316">
            <w:pPr>
              <w:rPr>
                <w:b/>
              </w:rPr>
            </w:pPr>
          </w:p>
        </w:tc>
        <w:tc>
          <w:tcPr>
            <w:tcW w:w="3544" w:type="dxa"/>
          </w:tcPr>
          <w:p w14:paraId="08E0CAD2" w14:textId="77777777" w:rsidR="00BB4A8F" w:rsidRDefault="00BB4A8F" w:rsidP="008C4316">
            <w:r>
              <w:t xml:space="preserve">- </w:t>
            </w:r>
            <w:r w:rsidR="00AF0B30">
              <w:t>jako uzasadnienie wskazywany jest</w:t>
            </w:r>
            <w:r w:rsidRPr="00BB4A8F">
              <w:t xml:space="preserve"> fakt, że ten typ represji odciskał się negatywnie na całym przyszłym życiu zawodowym danej osoby</w:t>
            </w:r>
            <w:r w:rsidR="00910E0B">
              <w:t xml:space="preserve"> (a więc i wysokości późniejszej emerytury)</w:t>
            </w:r>
            <w:r w:rsidRPr="00BB4A8F">
              <w:t>, przy czym brak jest możliwości uzyskania za takie represje odszkodowania (jak np. za internowanie czy uwięzienie).</w:t>
            </w:r>
          </w:p>
          <w:p w14:paraId="32D19735" w14:textId="77777777" w:rsidR="00BB4A8F" w:rsidRPr="00BB4A8F" w:rsidRDefault="00BB4A8F" w:rsidP="008C4316">
            <w:r>
              <w:t>- realizacja postulatu spowodowałaby odejście od obowiązującej w ustawie dział</w:t>
            </w:r>
            <w:r w:rsidR="009727D9">
              <w:t>a</w:t>
            </w:r>
            <w:r>
              <w:t>czowskiej zasady nieróżnicowania świadczeń – wszyscy dostają</w:t>
            </w:r>
            <w:r w:rsidR="007970CE">
              <w:t xml:space="preserve"> je</w:t>
            </w:r>
            <w:r>
              <w:t xml:space="preserve"> takie same</w:t>
            </w:r>
            <w:r w:rsidR="007970CE">
              <w:t>,</w:t>
            </w:r>
            <w:r>
              <w:t xml:space="preserve"> niezależnie od zasług i rodzaju doznanych represji</w:t>
            </w:r>
          </w:p>
          <w:p w14:paraId="2DA29995" w14:textId="77777777" w:rsidR="00BB4A8F" w:rsidRDefault="00BB4A8F" w:rsidP="008C4316"/>
        </w:tc>
        <w:tc>
          <w:tcPr>
            <w:tcW w:w="1418" w:type="dxa"/>
          </w:tcPr>
          <w:p w14:paraId="51EAADFD" w14:textId="77777777" w:rsidR="00BB4A8F" w:rsidRDefault="00BB4A8F" w:rsidP="001257A2"/>
        </w:tc>
        <w:tc>
          <w:tcPr>
            <w:tcW w:w="3934" w:type="dxa"/>
          </w:tcPr>
          <w:p w14:paraId="332199FA" w14:textId="77777777" w:rsidR="00BB4A8F" w:rsidRDefault="00BB4A8F" w:rsidP="001257A2"/>
        </w:tc>
      </w:tr>
      <w:tr w:rsidR="00BB4A8F" w14:paraId="31CD4B01" w14:textId="77777777" w:rsidTr="001257A2">
        <w:tc>
          <w:tcPr>
            <w:tcW w:w="562" w:type="dxa"/>
          </w:tcPr>
          <w:p w14:paraId="0F0511AC" w14:textId="77777777" w:rsidR="00BB4A8F" w:rsidRDefault="00910E0B" w:rsidP="001257A2">
            <w:pPr>
              <w:jc w:val="center"/>
            </w:pPr>
            <w:r>
              <w:t>16</w:t>
            </w:r>
          </w:p>
        </w:tc>
        <w:tc>
          <w:tcPr>
            <w:tcW w:w="4536" w:type="dxa"/>
          </w:tcPr>
          <w:p w14:paraId="5083B3D9" w14:textId="77777777" w:rsidR="00BB4A8F" w:rsidRPr="00BB4A8F" w:rsidRDefault="00910E0B" w:rsidP="008C4316">
            <w:pPr>
              <w:rPr>
                <w:b/>
              </w:rPr>
            </w:pPr>
            <w:r w:rsidRPr="00910E0B">
              <w:rPr>
                <w:b/>
              </w:rPr>
              <w:t>Podwyższenie świadczenia pieniężnego dla działaczy opozycji z obecnych z 1780 zł do wysokości przeciętnego wynagrodzenia (obecnie 8161 zł). Wariantami tego postulatu jest oczekiwanie ustalenia minimalnej emerytury dla działacza w wysokości przeciętnego wynagrodzenia.</w:t>
            </w:r>
          </w:p>
        </w:tc>
        <w:tc>
          <w:tcPr>
            <w:tcW w:w="3544" w:type="dxa"/>
          </w:tcPr>
          <w:p w14:paraId="679766CB" w14:textId="77777777" w:rsidR="00910E0B" w:rsidRDefault="00910E0B" w:rsidP="008C4316">
            <w:r>
              <w:t xml:space="preserve">- postulat należy rozpatrywać w kontekście możliwości budżetu jego </w:t>
            </w:r>
            <w:r w:rsidR="009727D9">
              <w:t>spełnienia, a także re</w:t>
            </w:r>
            <w:r w:rsidR="005977CC">
              <w:t xml:space="preserve">lacji </w:t>
            </w:r>
            <w:r w:rsidRPr="00910E0B">
              <w:t>między wysokością świadczeń dla działaczy a wysokością świadczeń dla innych podopiecznych Urzędu – kombatantów, więźniów obozów koncentracyjnych, deportowanych do ZSRR itd.</w:t>
            </w:r>
          </w:p>
        </w:tc>
        <w:tc>
          <w:tcPr>
            <w:tcW w:w="1418" w:type="dxa"/>
          </w:tcPr>
          <w:p w14:paraId="364F6738" w14:textId="77777777" w:rsidR="00BB4A8F" w:rsidRDefault="00BB4A8F" w:rsidP="001257A2"/>
        </w:tc>
        <w:tc>
          <w:tcPr>
            <w:tcW w:w="3934" w:type="dxa"/>
          </w:tcPr>
          <w:p w14:paraId="1F379148" w14:textId="77777777" w:rsidR="00BB4A8F" w:rsidRDefault="00BB4A8F" w:rsidP="001257A2"/>
        </w:tc>
      </w:tr>
      <w:tr w:rsidR="005977CC" w14:paraId="2D60798D" w14:textId="77777777" w:rsidTr="001257A2">
        <w:tc>
          <w:tcPr>
            <w:tcW w:w="562" w:type="dxa"/>
          </w:tcPr>
          <w:p w14:paraId="2BC322A8" w14:textId="77777777" w:rsidR="005977CC" w:rsidRDefault="005977CC" w:rsidP="001257A2">
            <w:pPr>
              <w:jc w:val="center"/>
            </w:pPr>
            <w:r>
              <w:t>17</w:t>
            </w:r>
          </w:p>
        </w:tc>
        <w:tc>
          <w:tcPr>
            <w:tcW w:w="4536" w:type="dxa"/>
          </w:tcPr>
          <w:p w14:paraId="781550D5" w14:textId="77777777" w:rsidR="005977CC" w:rsidRPr="00910E0B" w:rsidRDefault="005977CC" w:rsidP="008C4316">
            <w:pPr>
              <w:rPr>
                <w:b/>
              </w:rPr>
            </w:pPr>
            <w:r w:rsidRPr="005977CC">
              <w:rPr>
                <w:b/>
              </w:rPr>
              <w:t>Zwolnienie świadczenia pieniężnego spod zajęć komorniczych</w:t>
            </w:r>
          </w:p>
        </w:tc>
        <w:tc>
          <w:tcPr>
            <w:tcW w:w="3544" w:type="dxa"/>
          </w:tcPr>
          <w:p w14:paraId="64CAF85B" w14:textId="77777777" w:rsidR="005977CC" w:rsidRDefault="005977CC" w:rsidP="008C4316">
            <w:r>
              <w:t xml:space="preserve">- </w:t>
            </w:r>
            <w:r w:rsidRPr="005977CC">
              <w:t>w chwili obecnej parędziesiąt osób ma zajęte świadczenia przez komorników</w:t>
            </w:r>
            <w:r>
              <w:t>/syndyków</w:t>
            </w:r>
            <w:r w:rsidRPr="005977CC">
              <w:t>, z których spłacane są ich długi (</w:t>
            </w:r>
            <w:r>
              <w:t>pewna</w:t>
            </w:r>
            <w:r w:rsidRPr="005977CC">
              <w:t xml:space="preserve"> ich część to</w:t>
            </w:r>
            <w:r w:rsidR="007970CE">
              <w:t xml:space="preserve"> są</w:t>
            </w:r>
            <w:r w:rsidRPr="005977CC">
              <w:t xml:space="preserve"> długi alimentacyjne). </w:t>
            </w:r>
          </w:p>
          <w:p w14:paraId="59A6BA5C" w14:textId="77777777" w:rsidR="005977CC" w:rsidRDefault="005977CC" w:rsidP="008C4316">
            <w:r>
              <w:t>- rozpatrując ten postulat trzeba pamiętać, że jeśli wskutek</w:t>
            </w:r>
            <w:r w:rsidRPr="005977CC">
              <w:t xml:space="preserve"> zajęcia komorniczego dochody działacza znacząco spadną i znajdzie się on w trudnej sytuacji materialnej, Szef UdSKiOR może udzielić mu jednorazowej lub okresowej pomocy pieniężnej, która nie podlega zajęciom komorniczym i będzie działaczowi wypłacona w całości.</w:t>
            </w:r>
          </w:p>
        </w:tc>
        <w:tc>
          <w:tcPr>
            <w:tcW w:w="1418" w:type="dxa"/>
          </w:tcPr>
          <w:p w14:paraId="6C484C90" w14:textId="77777777" w:rsidR="005977CC" w:rsidRDefault="005977CC" w:rsidP="001257A2"/>
        </w:tc>
        <w:tc>
          <w:tcPr>
            <w:tcW w:w="3934" w:type="dxa"/>
          </w:tcPr>
          <w:p w14:paraId="2CAE14CB" w14:textId="77777777" w:rsidR="005977CC" w:rsidRDefault="005977CC" w:rsidP="001257A2"/>
        </w:tc>
      </w:tr>
      <w:tr w:rsidR="003412F5" w14:paraId="6F36332A" w14:textId="77777777" w:rsidTr="001257A2">
        <w:tc>
          <w:tcPr>
            <w:tcW w:w="562" w:type="dxa"/>
          </w:tcPr>
          <w:p w14:paraId="6923ECD6" w14:textId="77777777" w:rsidR="003412F5" w:rsidRDefault="003412F5" w:rsidP="001257A2">
            <w:pPr>
              <w:jc w:val="center"/>
            </w:pPr>
            <w:r>
              <w:lastRenderedPageBreak/>
              <w:t>18</w:t>
            </w:r>
          </w:p>
        </w:tc>
        <w:tc>
          <w:tcPr>
            <w:tcW w:w="4536" w:type="dxa"/>
          </w:tcPr>
          <w:p w14:paraId="2241CD0C" w14:textId="77777777" w:rsidR="003412F5" w:rsidRPr="005977CC" w:rsidRDefault="008E17D3" w:rsidP="008C4316">
            <w:pPr>
              <w:rPr>
                <w:b/>
              </w:rPr>
            </w:pPr>
            <w:r w:rsidRPr="008E17D3">
              <w:rPr>
                <w:b/>
              </w:rPr>
              <w:t>Obniżenie w przypadku działaczy opozycji wieku emerytalnego o 5 lat (60 lat mężczyźni, 55 kobiety).</w:t>
            </w:r>
          </w:p>
        </w:tc>
        <w:tc>
          <w:tcPr>
            <w:tcW w:w="3544" w:type="dxa"/>
          </w:tcPr>
          <w:p w14:paraId="51641023" w14:textId="77777777" w:rsidR="003412F5" w:rsidRDefault="002215BB" w:rsidP="008C4316">
            <w:r>
              <w:t xml:space="preserve">- postulat dotyczy obecnie ok. 3 tys. osób. </w:t>
            </w:r>
          </w:p>
          <w:p w14:paraId="06CBF333" w14:textId="77777777" w:rsidR="002215BB" w:rsidRDefault="002215BB" w:rsidP="008C4316"/>
        </w:tc>
        <w:tc>
          <w:tcPr>
            <w:tcW w:w="1418" w:type="dxa"/>
          </w:tcPr>
          <w:p w14:paraId="593D8EE4" w14:textId="77777777" w:rsidR="003412F5" w:rsidRDefault="003412F5" w:rsidP="001257A2"/>
        </w:tc>
        <w:tc>
          <w:tcPr>
            <w:tcW w:w="3934" w:type="dxa"/>
          </w:tcPr>
          <w:p w14:paraId="299FB6D8" w14:textId="77777777" w:rsidR="003412F5" w:rsidRDefault="003412F5" w:rsidP="001257A2"/>
        </w:tc>
      </w:tr>
      <w:tr w:rsidR="003412F5" w14:paraId="513BD899" w14:textId="77777777" w:rsidTr="001257A2">
        <w:tc>
          <w:tcPr>
            <w:tcW w:w="562" w:type="dxa"/>
          </w:tcPr>
          <w:p w14:paraId="0D55C307" w14:textId="77777777" w:rsidR="003412F5" w:rsidRDefault="008E17D3" w:rsidP="001257A2">
            <w:pPr>
              <w:jc w:val="center"/>
            </w:pPr>
            <w:r>
              <w:t>19</w:t>
            </w:r>
          </w:p>
        </w:tc>
        <w:tc>
          <w:tcPr>
            <w:tcW w:w="4536" w:type="dxa"/>
          </w:tcPr>
          <w:p w14:paraId="2E27A542" w14:textId="77777777" w:rsidR="003412F5" w:rsidRPr="005977CC" w:rsidRDefault="008E17D3" w:rsidP="008C4316">
            <w:pPr>
              <w:rPr>
                <w:b/>
              </w:rPr>
            </w:pPr>
            <w:r w:rsidRPr="008E17D3">
              <w:rPr>
                <w:b/>
              </w:rPr>
              <w:t>Przyznawanie pomocy pieniężnej przez Szefa UdSKiOR niezależnie od sytuacji materialnej i życiowej wnioskodawcy.</w:t>
            </w:r>
          </w:p>
        </w:tc>
        <w:tc>
          <w:tcPr>
            <w:tcW w:w="3544" w:type="dxa"/>
          </w:tcPr>
          <w:p w14:paraId="41FB93EB" w14:textId="77777777" w:rsidR="002215BB" w:rsidRDefault="008E17D3" w:rsidP="008C4316">
            <w:r>
              <w:t>- w</w:t>
            </w:r>
            <w:r w:rsidRPr="008E17D3">
              <w:t xml:space="preserve"> przypadku realizacji tego postulatu to taka pomoc, która jest obecnie świadczeniem o charakterze socjalnym, straci ten przymiot „socjalności”</w:t>
            </w:r>
            <w:r w:rsidR="002215BB">
              <w:t>;</w:t>
            </w:r>
          </w:p>
          <w:p w14:paraId="6B666806" w14:textId="77777777" w:rsidR="003412F5" w:rsidRDefault="002215BB" w:rsidP="008C4316">
            <w:r>
              <w:t>- d</w:t>
            </w:r>
            <w:r w:rsidR="008E17D3" w:rsidRPr="008E17D3">
              <w:t>ziałacze mają już jedno powszechne świadczenie przyznawane niezależnie od dochodów, zatem</w:t>
            </w:r>
            <w:r w:rsidR="008E17D3">
              <w:t xml:space="preserve"> rodzi się pytanie, czy</w:t>
            </w:r>
            <w:r w:rsidR="008E17D3" w:rsidRPr="008E17D3">
              <w:t xml:space="preserve"> dodatkowa pomoc pieniężna – wobec ograniczoności środków – </w:t>
            </w:r>
            <w:r w:rsidR="008E17D3">
              <w:t xml:space="preserve">nie </w:t>
            </w:r>
            <w:r w:rsidR="008E17D3" w:rsidRPr="008E17D3">
              <w:t xml:space="preserve">powinna być kierowana </w:t>
            </w:r>
            <w:r w:rsidR="008E17D3">
              <w:t xml:space="preserve">tylko </w:t>
            </w:r>
            <w:r w:rsidR="008E17D3" w:rsidRPr="008E17D3">
              <w:t>do tych, którzy jej rzeczywiście potrzebują.</w:t>
            </w:r>
          </w:p>
        </w:tc>
        <w:tc>
          <w:tcPr>
            <w:tcW w:w="1418" w:type="dxa"/>
          </w:tcPr>
          <w:p w14:paraId="52B19D39" w14:textId="77777777" w:rsidR="003412F5" w:rsidRDefault="003412F5" w:rsidP="001257A2"/>
        </w:tc>
        <w:tc>
          <w:tcPr>
            <w:tcW w:w="3934" w:type="dxa"/>
          </w:tcPr>
          <w:p w14:paraId="02E9750B" w14:textId="77777777" w:rsidR="003412F5" w:rsidRDefault="003412F5" w:rsidP="001257A2"/>
        </w:tc>
      </w:tr>
      <w:tr w:rsidR="008E17D3" w14:paraId="214C83E7" w14:textId="77777777" w:rsidTr="001257A2">
        <w:tc>
          <w:tcPr>
            <w:tcW w:w="562" w:type="dxa"/>
          </w:tcPr>
          <w:p w14:paraId="7FF148DC" w14:textId="77777777" w:rsidR="008E17D3" w:rsidRDefault="008E17D3" w:rsidP="001257A2">
            <w:pPr>
              <w:jc w:val="center"/>
            </w:pPr>
            <w:r>
              <w:t>20</w:t>
            </w:r>
          </w:p>
        </w:tc>
        <w:tc>
          <w:tcPr>
            <w:tcW w:w="4536" w:type="dxa"/>
          </w:tcPr>
          <w:p w14:paraId="66852A9D" w14:textId="77777777" w:rsidR="008E17D3" w:rsidRPr="008E17D3" w:rsidRDefault="008E17D3" w:rsidP="008C4316">
            <w:pPr>
              <w:rPr>
                <w:b/>
              </w:rPr>
            </w:pPr>
            <w:r w:rsidRPr="008E17D3">
              <w:rPr>
                <w:b/>
              </w:rPr>
              <w:t>Przyznanie działaczom prawa do bezpłatnych leków</w:t>
            </w:r>
          </w:p>
          <w:p w14:paraId="1DC0AB45" w14:textId="77777777" w:rsidR="008E17D3" w:rsidRPr="008E17D3" w:rsidRDefault="008E17D3" w:rsidP="008C4316">
            <w:pPr>
              <w:rPr>
                <w:b/>
              </w:rPr>
            </w:pPr>
          </w:p>
        </w:tc>
        <w:tc>
          <w:tcPr>
            <w:tcW w:w="3544" w:type="dxa"/>
          </w:tcPr>
          <w:p w14:paraId="03772E91" w14:textId="77777777" w:rsidR="008E17D3" w:rsidRPr="008E17D3" w:rsidRDefault="008E17D3" w:rsidP="008C4316">
            <w:r>
              <w:t>Obecnie takie</w:t>
            </w:r>
            <w:r w:rsidRPr="008E17D3">
              <w:t xml:space="preserve"> uprawnienia posiadają jedynie inwalidzi wojenni, a więc osoby, które doznały trwałego uszczerbku na zdrowiu wskutek działań wojennych. Jest to zatem</w:t>
            </w:r>
            <w:r w:rsidR="003110AE">
              <w:t xml:space="preserve"> obecnie</w:t>
            </w:r>
            <w:r w:rsidRPr="008E17D3">
              <w:t xml:space="preserve"> przywilej powiązany ze stanem zdrowia osoby uprawnionej.</w:t>
            </w:r>
          </w:p>
          <w:p w14:paraId="0E422282" w14:textId="77777777" w:rsidR="008E17D3" w:rsidRDefault="008E17D3" w:rsidP="008C4316"/>
        </w:tc>
        <w:tc>
          <w:tcPr>
            <w:tcW w:w="1418" w:type="dxa"/>
          </w:tcPr>
          <w:p w14:paraId="1A3280B0" w14:textId="77777777" w:rsidR="008E17D3" w:rsidRDefault="008E17D3" w:rsidP="001257A2"/>
        </w:tc>
        <w:tc>
          <w:tcPr>
            <w:tcW w:w="3934" w:type="dxa"/>
          </w:tcPr>
          <w:p w14:paraId="1E7FA0E7" w14:textId="77777777" w:rsidR="008E17D3" w:rsidRDefault="008E17D3" w:rsidP="001257A2"/>
        </w:tc>
      </w:tr>
      <w:tr w:rsidR="008E17D3" w14:paraId="77D37DB2" w14:textId="77777777" w:rsidTr="001257A2">
        <w:tc>
          <w:tcPr>
            <w:tcW w:w="562" w:type="dxa"/>
          </w:tcPr>
          <w:p w14:paraId="0F6D016C" w14:textId="77777777" w:rsidR="008E17D3" w:rsidRDefault="008E17D3" w:rsidP="001257A2">
            <w:pPr>
              <w:jc w:val="center"/>
            </w:pPr>
            <w:r>
              <w:lastRenderedPageBreak/>
              <w:t>21</w:t>
            </w:r>
          </w:p>
        </w:tc>
        <w:tc>
          <w:tcPr>
            <w:tcW w:w="4536" w:type="dxa"/>
          </w:tcPr>
          <w:p w14:paraId="63DC512B" w14:textId="77777777" w:rsidR="008E17D3" w:rsidRPr="008E17D3" w:rsidRDefault="008E17D3" w:rsidP="008C4316">
            <w:pPr>
              <w:rPr>
                <w:b/>
              </w:rPr>
            </w:pPr>
            <w:r w:rsidRPr="008E17D3">
              <w:rPr>
                <w:b/>
              </w:rPr>
              <w:t>Przyznanie dodatkowego świadczenia za każdy miesiąc uwięzienia/internowania</w:t>
            </w:r>
          </w:p>
        </w:tc>
        <w:tc>
          <w:tcPr>
            <w:tcW w:w="3544" w:type="dxa"/>
          </w:tcPr>
          <w:p w14:paraId="1622BCA9" w14:textId="77777777" w:rsidR="008E17D3" w:rsidRPr="008E17D3" w:rsidRDefault="008E17D3" w:rsidP="008C4316">
            <w:r w:rsidRPr="008E17D3">
              <w:t xml:space="preserve">Za powyższe represje można </w:t>
            </w:r>
            <w:r>
              <w:t xml:space="preserve">już dziś </w:t>
            </w:r>
            <w:r w:rsidRPr="008E17D3">
              <w:t xml:space="preserve">otrzymać odszkodowanie i zadośćuczynienie na podstawie ustawy </w:t>
            </w:r>
            <w:r w:rsidRPr="008E17D3">
              <w:rPr>
                <w:i/>
              </w:rPr>
              <w:t>o uznaniu za nieważne orzeczeń wydanych za działalność na rzecz niepodległego bytu Państwa Polskiego</w:t>
            </w:r>
            <w:r w:rsidRPr="008E17D3">
              <w:t>.</w:t>
            </w:r>
          </w:p>
          <w:p w14:paraId="4DAC514C" w14:textId="77777777" w:rsidR="008E17D3" w:rsidRDefault="008E17D3" w:rsidP="008C4316"/>
        </w:tc>
        <w:tc>
          <w:tcPr>
            <w:tcW w:w="1418" w:type="dxa"/>
          </w:tcPr>
          <w:p w14:paraId="66B7A966" w14:textId="77777777" w:rsidR="008E17D3" w:rsidRDefault="008E17D3" w:rsidP="001257A2"/>
        </w:tc>
        <w:tc>
          <w:tcPr>
            <w:tcW w:w="3934" w:type="dxa"/>
          </w:tcPr>
          <w:p w14:paraId="2EEA9143" w14:textId="77777777" w:rsidR="008E17D3" w:rsidRDefault="008E17D3" w:rsidP="001257A2"/>
        </w:tc>
      </w:tr>
      <w:tr w:rsidR="008E17D3" w14:paraId="6688FC2F" w14:textId="77777777" w:rsidTr="001257A2">
        <w:tc>
          <w:tcPr>
            <w:tcW w:w="562" w:type="dxa"/>
          </w:tcPr>
          <w:p w14:paraId="078A0503" w14:textId="77777777" w:rsidR="008E17D3" w:rsidRDefault="008E17D3" w:rsidP="001257A2">
            <w:pPr>
              <w:jc w:val="center"/>
            </w:pPr>
            <w:r>
              <w:t>22</w:t>
            </w:r>
          </w:p>
        </w:tc>
        <w:tc>
          <w:tcPr>
            <w:tcW w:w="4536" w:type="dxa"/>
          </w:tcPr>
          <w:p w14:paraId="54EEF491" w14:textId="77777777" w:rsidR="008E17D3" w:rsidRPr="008E17D3" w:rsidRDefault="008E17D3" w:rsidP="008C4316">
            <w:pPr>
              <w:rPr>
                <w:b/>
              </w:rPr>
            </w:pPr>
            <w:r w:rsidRPr="008E17D3">
              <w:rPr>
                <w:b/>
              </w:rPr>
              <w:t xml:space="preserve">Sfinansowanie </w:t>
            </w:r>
            <w:r>
              <w:rPr>
                <w:b/>
              </w:rPr>
              <w:t xml:space="preserve">rodzinom </w:t>
            </w:r>
            <w:r w:rsidRPr="008E17D3">
              <w:rPr>
                <w:b/>
              </w:rPr>
              <w:t>działacz</w:t>
            </w:r>
            <w:r>
              <w:rPr>
                <w:b/>
              </w:rPr>
              <w:t>y</w:t>
            </w:r>
            <w:r w:rsidRPr="008E17D3">
              <w:rPr>
                <w:b/>
              </w:rPr>
              <w:t xml:space="preserve"> opozycji kosztów nagrobków, kosztów opieki nad miejscem pochówku i obowiązkowa wojskowa asysta honorowa na pogrzebach</w:t>
            </w:r>
          </w:p>
        </w:tc>
        <w:tc>
          <w:tcPr>
            <w:tcW w:w="3544" w:type="dxa"/>
          </w:tcPr>
          <w:p w14:paraId="6E294C85" w14:textId="77777777" w:rsidR="008E17D3" w:rsidRDefault="008E17D3" w:rsidP="008C4316"/>
        </w:tc>
        <w:tc>
          <w:tcPr>
            <w:tcW w:w="1418" w:type="dxa"/>
          </w:tcPr>
          <w:p w14:paraId="41696F18" w14:textId="77777777" w:rsidR="008E17D3" w:rsidRDefault="008E17D3" w:rsidP="001257A2"/>
        </w:tc>
        <w:tc>
          <w:tcPr>
            <w:tcW w:w="3934" w:type="dxa"/>
          </w:tcPr>
          <w:p w14:paraId="04D7D166" w14:textId="77777777" w:rsidR="008E17D3" w:rsidRDefault="008E17D3" w:rsidP="001257A2"/>
        </w:tc>
      </w:tr>
      <w:tr w:rsidR="008E17D3" w14:paraId="117B7F6B" w14:textId="77777777" w:rsidTr="001257A2">
        <w:tc>
          <w:tcPr>
            <w:tcW w:w="562" w:type="dxa"/>
          </w:tcPr>
          <w:p w14:paraId="303F97E1" w14:textId="77777777" w:rsidR="008E17D3" w:rsidRDefault="008E17D3" w:rsidP="001257A2">
            <w:pPr>
              <w:jc w:val="center"/>
            </w:pPr>
            <w:r>
              <w:t>23</w:t>
            </w:r>
          </w:p>
        </w:tc>
        <w:tc>
          <w:tcPr>
            <w:tcW w:w="4536" w:type="dxa"/>
          </w:tcPr>
          <w:p w14:paraId="12B24F6F" w14:textId="77777777" w:rsidR="008E17D3" w:rsidRPr="008E17D3" w:rsidRDefault="008E17D3" w:rsidP="008C4316">
            <w:pPr>
              <w:rPr>
                <w:b/>
              </w:rPr>
            </w:pPr>
            <w:r w:rsidRPr="008E17D3">
              <w:rPr>
                <w:b/>
              </w:rPr>
              <w:t>Przyznanie dziennikarzom prasy podziemnej analogicznych uprawnień w zakresie ubezpieczeń społecznych, jakie posiadają dziennikarze pracujący na etatach w prasie reżimowej.</w:t>
            </w:r>
          </w:p>
          <w:p w14:paraId="5D9E0DBE" w14:textId="77777777" w:rsidR="008E17D3" w:rsidRPr="008E17D3" w:rsidRDefault="008E17D3" w:rsidP="008C4316">
            <w:pPr>
              <w:rPr>
                <w:b/>
              </w:rPr>
            </w:pPr>
          </w:p>
        </w:tc>
        <w:tc>
          <w:tcPr>
            <w:tcW w:w="3544" w:type="dxa"/>
          </w:tcPr>
          <w:p w14:paraId="1382299D" w14:textId="77777777" w:rsidR="008E17D3" w:rsidRDefault="008E17D3" w:rsidP="008C4316"/>
        </w:tc>
        <w:tc>
          <w:tcPr>
            <w:tcW w:w="1418" w:type="dxa"/>
          </w:tcPr>
          <w:p w14:paraId="03831B9E" w14:textId="77777777" w:rsidR="008E17D3" w:rsidRDefault="008E17D3" w:rsidP="001257A2"/>
        </w:tc>
        <w:tc>
          <w:tcPr>
            <w:tcW w:w="3934" w:type="dxa"/>
          </w:tcPr>
          <w:p w14:paraId="57C73CFC" w14:textId="77777777" w:rsidR="008E17D3" w:rsidRDefault="008E17D3" w:rsidP="001257A2"/>
        </w:tc>
      </w:tr>
      <w:tr w:rsidR="008E17D3" w14:paraId="24C47053" w14:textId="77777777" w:rsidTr="001257A2">
        <w:tc>
          <w:tcPr>
            <w:tcW w:w="562" w:type="dxa"/>
          </w:tcPr>
          <w:p w14:paraId="49D3E69D" w14:textId="77777777" w:rsidR="008E17D3" w:rsidRDefault="00756EE6" w:rsidP="001257A2">
            <w:pPr>
              <w:jc w:val="center"/>
            </w:pPr>
            <w:r>
              <w:t>24</w:t>
            </w:r>
          </w:p>
        </w:tc>
        <w:tc>
          <w:tcPr>
            <w:tcW w:w="4536" w:type="dxa"/>
          </w:tcPr>
          <w:p w14:paraId="6142FE75" w14:textId="77777777" w:rsidR="008E17D3" w:rsidRPr="008E17D3" w:rsidRDefault="00756EE6" w:rsidP="008C4316">
            <w:pPr>
              <w:rPr>
                <w:b/>
              </w:rPr>
            </w:pPr>
            <w:r w:rsidRPr="00756EE6">
              <w:rPr>
                <w:b/>
              </w:rPr>
              <w:t>Uwzględnienie przy ustalaniu prawa do zasiłku dla bezrobotnych świadczenia pracy na rzecz organizacji niepodległościowych i innych okresów uznanych w ustawie o rentach i emeryturach z FUS jako okresy składkowe.</w:t>
            </w:r>
          </w:p>
        </w:tc>
        <w:tc>
          <w:tcPr>
            <w:tcW w:w="3544" w:type="dxa"/>
          </w:tcPr>
          <w:p w14:paraId="6228BE25" w14:textId="77777777" w:rsidR="008E17D3" w:rsidRDefault="00756EE6" w:rsidP="008C4316">
            <w:r>
              <w:t>Wysokość zasiłku dla bezrobotnych uzależniona jest od stażu pracy – wliczenie okresów świadczenia pracy na rzecz organizacji niepodległościowych oraz niektórych okresów represji pozwoliłaby tracącym pracę działaczom uzyskać zasiłki dla bezrobotnych</w:t>
            </w:r>
            <w:r w:rsidR="007970CE">
              <w:t xml:space="preserve"> w wyższym </w:t>
            </w:r>
            <w:r w:rsidR="007970CE">
              <w:lastRenderedPageBreak/>
              <w:t>wymiarze</w:t>
            </w:r>
            <w:r>
              <w:t xml:space="preserve"> (obecnie inna wysokość zasiłku jest przy stażu pracy poniżej 5 lat, </w:t>
            </w:r>
            <w:r w:rsidR="007970CE">
              <w:t xml:space="preserve">inna przy stażu </w:t>
            </w:r>
            <w:r>
              <w:t xml:space="preserve">w przedziale 5-20 lat i </w:t>
            </w:r>
            <w:r w:rsidR="007970CE">
              <w:t xml:space="preserve">inna </w:t>
            </w:r>
            <w:r>
              <w:t xml:space="preserve">powyżej 20 lat stażu)  </w:t>
            </w:r>
          </w:p>
        </w:tc>
        <w:tc>
          <w:tcPr>
            <w:tcW w:w="1418" w:type="dxa"/>
          </w:tcPr>
          <w:p w14:paraId="50138402" w14:textId="77777777" w:rsidR="008E17D3" w:rsidRDefault="008E17D3" w:rsidP="001257A2"/>
        </w:tc>
        <w:tc>
          <w:tcPr>
            <w:tcW w:w="3934" w:type="dxa"/>
          </w:tcPr>
          <w:p w14:paraId="17BC1027" w14:textId="77777777" w:rsidR="008E17D3" w:rsidRDefault="008E17D3" w:rsidP="001257A2"/>
        </w:tc>
      </w:tr>
      <w:tr w:rsidR="00756EE6" w14:paraId="188E35FE" w14:textId="77777777" w:rsidTr="001257A2">
        <w:tc>
          <w:tcPr>
            <w:tcW w:w="562" w:type="dxa"/>
          </w:tcPr>
          <w:p w14:paraId="1F15F6EC" w14:textId="77777777" w:rsidR="00756EE6" w:rsidRDefault="00756EE6" w:rsidP="001257A2">
            <w:pPr>
              <w:jc w:val="center"/>
            </w:pPr>
            <w:r>
              <w:t>25</w:t>
            </w:r>
          </w:p>
        </w:tc>
        <w:tc>
          <w:tcPr>
            <w:tcW w:w="4536" w:type="dxa"/>
          </w:tcPr>
          <w:p w14:paraId="28AE7C40" w14:textId="77777777" w:rsidR="00756EE6" w:rsidRPr="00756EE6" w:rsidRDefault="00AB6B55" w:rsidP="008C4316">
            <w:pPr>
              <w:rPr>
                <w:b/>
              </w:rPr>
            </w:pPr>
            <w:r w:rsidRPr="00AB6B55">
              <w:rPr>
                <w:b/>
              </w:rPr>
              <w:t xml:space="preserve">Przy ustalaniu prawa do świadczenia wyrównawczego do dochodów danej osoby nie powinno się brać pod uwagę tzw. rent specjalnych od Premiera, gdyż nie są to świadczenia, które można postawić na równi ze „zwykłą” emeryturą i rentą. Premier przyznaje to świadczenie wyjątkowo za specjalne zasługi, więc tak jak się nie wlicza do dochodu danej osoby świadczenia pieniężnego jako świadczenia „honorowego”, tak nie powinno się również wliczać renty specjalnej od Premiera. </w:t>
            </w:r>
          </w:p>
        </w:tc>
        <w:tc>
          <w:tcPr>
            <w:tcW w:w="3544" w:type="dxa"/>
          </w:tcPr>
          <w:p w14:paraId="48E165C9" w14:textId="77777777" w:rsidR="00756EE6" w:rsidRPr="00AB6B55" w:rsidRDefault="00AB6B55" w:rsidP="008C4316">
            <w:r w:rsidRPr="00AB6B55">
              <w:t xml:space="preserve">- Postulat zgodny z poglądami sądów na te kwestię, ale ZUS </w:t>
            </w:r>
            <w:r>
              <w:t>stosuje tę zasadę tylko w tych przypadkach, gdzie zapadł taki wyrok</w:t>
            </w:r>
            <w:r w:rsidR="003110AE">
              <w:t>, a ignoruje ją w innych sprawach</w:t>
            </w:r>
          </w:p>
        </w:tc>
        <w:tc>
          <w:tcPr>
            <w:tcW w:w="1418" w:type="dxa"/>
          </w:tcPr>
          <w:p w14:paraId="0A0AB540" w14:textId="77777777" w:rsidR="00756EE6" w:rsidRDefault="00756EE6" w:rsidP="001257A2"/>
        </w:tc>
        <w:tc>
          <w:tcPr>
            <w:tcW w:w="3934" w:type="dxa"/>
          </w:tcPr>
          <w:p w14:paraId="57D81AEF" w14:textId="77777777" w:rsidR="00756EE6" w:rsidRDefault="00756EE6" w:rsidP="001257A2"/>
        </w:tc>
      </w:tr>
      <w:tr w:rsidR="00756EE6" w14:paraId="66B5A90D" w14:textId="77777777" w:rsidTr="001257A2">
        <w:tc>
          <w:tcPr>
            <w:tcW w:w="562" w:type="dxa"/>
          </w:tcPr>
          <w:p w14:paraId="22BA0BB8" w14:textId="77777777" w:rsidR="00756EE6" w:rsidRDefault="00295308" w:rsidP="001257A2">
            <w:pPr>
              <w:jc w:val="center"/>
            </w:pPr>
            <w:r>
              <w:t>26</w:t>
            </w:r>
          </w:p>
        </w:tc>
        <w:tc>
          <w:tcPr>
            <w:tcW w:w="4536" w:type="dxa"/>
          </w:tcPr>
          <w:p w14:paraId="56605F65" w14:textId="77777777" w:rsidR="00756EE6" w:rsidRPr="00756EE6" w:rsidRDefault="00295308" w:rsidP="008C4316">
            <w:pPr>
              <w:rPr>
                <w:b/>
              </w:rPr>
            </w:pPr>
            <w:r w:rsidRPr="00295308">
              <w:rPr>
                <w:b/>
              </w:rPr>
              <w:t>Podwyższenie pobieranych przez działaczy świadczeń przedemerytalnych do wysokości przeciętnej emerytury.</w:t>
            </w:r>
          </w:p>
        </w:tc>
        <w:tc>
          <w:tcPr>
            <w:tcW w:w="3544" w:type="dxa"/>
          </w:tcPr>
          <w:p w14:paraId="4A387F75" w14:textId="77777777" w:rsidR="00756EE6" w:rsidRDefault="00295308" w:rsidP="008C4316">
            <w:r>
              <w:t>Zasada podobna jak przy świadczeniu wyrównawczym, ale odnosząca się nie do renty/emerytury a do świadczenia przedemerytalnego</w:t>
            </w:r>
          </w:p>
        </w:tc>
        <w:tc>
          <w:tcPr>
            <w:tcW w:w="1418" w:type="dxa"/>
          </w:tcPr>
          <w:p w14:paraId="747E7634" w14:textId="77777777" w:rsidR="00756EE6" w:rsidRDefault="00756EE6" w:rsidP="001257A2"/>
        </w:tc>
        <w:tc>
          <w:tcPr>
            <w:tcW w:w="3934" w:type="dxa"/>
          </w:tcPr>
          <w:p w14:paraId="3289ACC4" w14:textId="77777777" w:rsidR="00756EE6" w:rsidRDefault="00756EE6" w:rsidP="001257A2"/>
        </w:tc>
      </w:tr>
      <w:tr w:rsidR="00295308" w14:paraId="662858A2" w14:textId="77777777" w:rsidTr="001257A2">
        <w:tc>
          <w:tcPr>
            <w:tcW w:w="562" w:type="dxa"/>
          </w:tcPr>
          <w:p w14:paraId="62234D5C" w14:textId="77777777" w:rsidR="00295308" w:rsidRDefault="00295308" w:rsidP="001257A2">
            <w:pPr>
              <w:jc w:val="center"/>
            </w:pPr>
            <w:r>
              <w:t>27</w:t>
            </w:r>
          </w:p>
        </w:tc>
        <w:tc>
          <w:tcPr>
            <w:tcW w:w="4536" w:type="dxa"/>
          </w:tcPr>
          <w:p w14:paraId="7F5BA300" w14:textId="77777777" w:rsidR="00295308" w:rsidRPr="00295308" w:rsidRDefault="00295308" w:rsidP="008C4316">
            <w:pPr>
              <w:rPr>
                <w:b/>
              </w:rPr>
            </w:pPr>
            <w:r w:rsidRPr="00295308">
              <w:rPr>
                <w:b/>
              </w:rPr>
              <w:t>Wydłużenie urlopu wypoczynkowego dla działaczy o 10 dni (obecnie 5 dni).</w:t>
            </w:r>
          </w:p>
          <w:p w14:paraId="79893C5F" w14:textId="77777777" w:rsidR="00295308" w:rsidRPr="00295308" w:rsidRDefault="00295308" w:rsidP="008C4316">
            <w:pPr>
              <w:rPr>
                <w:b/>
              </w:rPr>
            </w:pPr>
          </w:p>
        </w:tc>
        <w:tc>
          <w:tcPr>
            <w:tcW w:w="3544" w:type="dxa"/>
          </w:tcPr>
          <w:p w14:paraId="20DDEEA4" w14:textId="77777777" w:rsidR="00295308" w:rsidRPr="00295308" w:rsidRDefault="00295308" w:rsidP="008C4316">
            <w:r w:rsidRPr="00295308">
              <w:t>Taki</w:t>
            </w:r>
            <w:r w:rsidR="0060164F">
              <w:t>e</w:t>
            </w:r>
            <w:r w:rsidRPr="00295308">
              <w:t xml:space="preserve"> był</w:t>
            </w:r>
            <w:r>
              <w:t>y planowane rozwiązania w</w:t>
            </w:r>
            <w:r w:rsidRPr="00295308">
              <w:t xml:space="preserve"> pierwotn</w:t>
            </w:r>
            <w:r>
              <w:t>ej wersji</w:t>
            </w:r>
            <w:r w:rsidRPr="00295308">
              <w:t xml:space="preserve"> projek</w:t>
            </w:r>
            <w:r>
              <w:t>tu</w:t>
            </w:r>
            <w:r w:rsidRPr="00295308">
              <w:t xml:space="preserve"> ustawy</w:t>
            </w:r>
            <w:r>
              <w:t xml:space="preserve"> działaczowskiej</w:t>
            </w:r>
            <w:r w:rsidRPr="00295308">
              <w:t xml:space="preserve"> – </w:t>
            </w:r>
            <w:r>
              <w:t xml:space="preserve">ale </w:t>
            </w:r>
            <w:r w:rsidR="003110AE">
              <w:t xml:space="preserve">ostatecznie </w:t>
            </w:r>
            <w:r w:rsidRPr="00295308">
              <w:t xml:space="preserve">zmniejszono </w:t>
            </w:r>
            <w:r>
              <w:t xml:space="preserve">wymiar urlopu </w:t>
            </w:r>
            <w:r w:rsidRPr="00295308">
              <w:t>do 5</w:t>
            </w:r>
            <w:r>
              <w:t xml:space="preserve"> dni</w:t>
            </w:r>
            <w:r w:rsidRPr="00295308">
              <w:t xml:space="preserve">, </w:t>
            </w:r>
            <w:r w:rsidRPr="00295308">
              <w:lastRenderedPageBreak/>
              <w:t>by nie nakładać dodatkowych ciężarów na pracodawców.</w:t>
            </w:r>
          </w:p>
          <w:p w14:paraId="7D18D33B" w14:textId="77777777" w:rsidR="00295308" w:rsidRDefault="00295308" w:rsidP="008C4316"/>
        </w:tc>
        <w:tc>
          <w:tcPr>
            <w:tcW w:w="1418" w:type="dxa"/>
          </w:tcPr>
          <w:p w14:paraId="3C6C6D7A" w14:textId="77777777" w:rsidR="00295308" w:rsidRDefault="00295308" w:rsidP="001257A2"/>
        </w:tc>
        <w:tc>
          <w:tcPr>
            <w:tcW w:w="3934" w:type="dxa"/>
          </w:tcPr>
          <w:p w14:paraId="26B0C2A7" w14:textId="77777777" w:rsidR="00295308" w:rsidRDefault="00295308" w:rsidP="001257A2"/>
        </w:tc>
      </w:tr>
      <w:tr w:rsidR="00295308" w14:paraId="07D0BB15" w14:textId="77777777" w:rsidTr="001257A2">
        <w:tc>
          <w:tcPr>
            <w:tcW w:w="562" w:type="dxa"/>
          </w:tcPr>
          <w:p w14:paraId="34DD2222" w14:textId="77777777" w:rsidR="00295308" w:rsidRDefault="003110AE" w:rsidP="001257A2">
            <w:pPr>
              <w:jc w:val="center"/>
            </w:pPr>
            <w:r>
              <w:t>28</w:t>
            </w:r>
          </w:p>
        </w:tc>
        <w:tc>
          <w:tcPr>
            <w:tcW w:w="4536" w:type="dxa"/>
          </w:tcPr>
          <w:p w14:paraId="22733FAE" w14:textId="77777777" w:rsidR="00295308" w:rsidRPr="00295308" w:rsidRDefault="003110AE" w:rsidP="008C4316">
            <w:pPr>
              <w:rPr>
                <w:b/>
              </w:rPr>
            </w:pPr>
            <w:r w:rsidRPr="003110AE">
              <w:rPr>
                <w:b/>
              </w:rPr>
              <w:t>Zwolnienie z opłat klimatycznych w czasie pobytu w miejscowościach uzdrowiskowych</w:t>
            </w:r>
          </w:p>
        </w:tc>
        <w:tc>
          <w:tcPr>
            <w:tcW w:w="3544" w:type="dxa"/>
          </w:tcPr>
          <w:p w14:paraId="3A5EBB12" w14:textId="77777777" w:rsidR="00295308" w:rsidRDefault="003110AE" w:rsidP="008C4316">
            <w:r>
              <w:t>Obecnie taka opłata wynosi od 3,2 zł do 6,2 zł za dzień, w zależności od statusu miejscowości</w:t>
            </w:r>
          </w:p>
        </w:tc>
        <w:tc>
          <w:tcPr>
            <w:tcW w:w="1418" w:type="dxa"/>
          </w:tcPr>
          <w:p w14:paraId="5F3B789B" w14:textId="77777777" w:rsidR="00295308" w:rsidRDefault="00295308" w:rsidP="001257A2"/>
        </w:tc>
        <w:tc>
          <w:tcPr>
            <w:tcW w:w="3934" w:type="dxa"/>
          </w:tcPr>
          <w:p w14:paraId="078EAEB3" w14:textId="77777777" w:rsidR="00295308" w:rsidRDefault="00295308" w:rsidP="001257A2"/>
        </w:tc>
      </w:tr>
      <w:tr w:rsidR="003110AE" w14:paraId="27719E51" w14:textId="77777777" w:rsidTr="001257A2">
        <w:tc>
          <w:tcPr>
            <w:tcW w:w="562" w:type="dxa"/>
          </w:tcPr>
          <w:p w14:paraId="6DA5D4FD" w14:textId="77777777" w:rsidR="003110AE" w:rsidRDefault="003110AE" w:rsidP="001257A2">
            <w:pPr>
              <w:jc w:val="center"/>
            </w:pPr>
            <w:r>
              <w:t>29</w:t>
            </w:r>
          </w:p>
        </w:tc>
        <w:tc>
          <w:tcPr>
            <w:tcW w:w="4536" w:type="dxa"/>
          </w:tcPr>
          <w:p w14:paraId="0DE8EF3D" w14:textId="77777777" w:rsidR="003110AE" w:rsidRPr="003110AE" w:rsidRDefault="003110AE" w:rsidP="008C4316">
            <w:pPr>
              <w:rPr>
                <w:b/>
              </w:rPr>
            </w:pPr>
            <w:r w:rsidRPr="003110AE">
              <w:rPr>
                <w:b/>
              </w:rPr>
              <w:t>Prawo do bezpłatnego pobytu na leczeniu uzdrowiskowym/sanatoryjnym</w:t>
            </w:r>
          </w:p>
        </w:tc>
        <w:tc>
          <w:tcPr>
            <w:tcW w:w="3544" w:type="dxa"/>
          </w:tcPr>
          <w:p w14:paraId="3C2EBE6B" w14:textId="77777777" w:rsidR="003110AE" w:rsidRDefault="003110AE" w:rsidP="008C4316">
            <w:r>
              <w:t>Urząd prowadzi specjalne programy wsparcia finansowego dla takich kuracjuszy</w:t>
            </w:r>
          </w:p>
        </w:tc>
        <w:tc>
          <w:tcPr>
            <w:tcW w:w="1418" w:type="dxa"/>
          </w:tcPr>
          <w:p w14:paraId="684BDEBE" w14:textId="77777777" w:rsidR="003110AE" w:rsidRDefault="003110AE" w:rsidP="001257A2"/>
        </w:tc>
        <w:tc>
          <w:tcPr>
            <w:tcW w:w="3934" w:type="dxa"/>
          </w:tcPr>
          <w:p w14:paraId="41AD10FD" w14:textId="77777777" w:rsidR="003110AE" w:rsidRDefault="003110AE" w:rsidP="001257A2"/>
        </w:tc>
      </w:tr>
      <w:tr w:rsidR="003110AE" w14:paraId="1A7BCA51" w14:textId="77777777" w:rsidTr="001257A2">
        <w:tc>
          <w:tcPr>
            <w:tcW w:w="562" w:type="dxa"/>
          </w:tcPr>
          <w:p w14:paraId="4CD34C30" w14:textId="77777777" w:rsidR="003110AE" w:rsidRDefault="003110AE" w:rsidP="001257A2">
            <w:pPr>
              <w:jc w:val="center"/>
            </w:pPr>
            <w:r>
              <w:t>30</w:t>
            </w:r>
          </w:p>
        </w:tc>
        <w:tc>
          <w:tcPr>
            <w:tcW w:w="4536" w:type="dxa"/>
          </w:tcPr>
          <w:p w14:paraId="611EA135" w14:textId="77777777" w:rsidR="003110AE" w:rsidRPr="003110AE" w:rsidRDefault="003110AE" w:rsidP="008C4316">
            <w:pPr>
              <w:rPr>
                <w:b/>
              </w:rPr>
            </w:pPr>
            <w:r w:rsidRPr="003110AE">
              <w:rPr>
                <w:b/>
              </w:rPr>
              <w:t xml:space="preserve">Umożliwienie działaczom uzyskiwania poza kolejnością zabiegów rehabilitacyjnych prowadzonych turnusowo.  </w:t>
            </w:r>
          </w:p>
          <w:p w14:paraId="6F1B4AF0" w14:textId="77777777" w:rsidR="003110AE" w:rsidRPr="003110AE" w:rsidRDefault="003110AE" w:rsidP="008C4316">
            <w:pPr>
              <w:rPr>
                <w:b/>
              </w:rPr>
            </w:pPr>
          </w:p>
        </w:tc>
        <w:tc>
          <w:tcPr>
            <w:tcW w:w="3544" w:type="dxa"/>
          </w:tcPr>
          <w:p w14:paraId="0516CD7B" w14:textId="77777777" w:rsidR="003110AE" w:rsidRDefault="003110AE" w:rsidP="008C4316"/>
        </w:tc>
        <w:tc>
          <w:tcPr>
            <w:tcW w:w="1418" w:type="dxa"/>
          </w:tcPr>
          <w:p w14:paraId="56D59790" w14:textId="77777777" w:rsidR="003110AE" w:rsidRDefault="003110AE" w:rsidP="001257A2"/>
        </w:tc>
        <w:tc>
          <w:tcPr>
            <w:tcW w:w="3934" w:type="dxa"/>
          </w:tcPr>
          <w:p w14:paraId="5B244BC6" w14:textId="77777777" w:rsidR="003110AE" w:rsidRDefault="003110AE" w:rsidP="001257A2"/>
        </w:tc>
      </w:tr>
      <w:tr w:rsidR="003110AE" w14:paraId="1C21DAEB" w14:textId="77777777" w:rsidTr="001257A2">
        <w:tc>
          <w:tcPr>
            <w:tcW w:w="562" w:type="dxa"/>
          </w:tcPr>
          <w:p w14:paraId="1A0D41AC" w14:textId="77777777" w:rsidR="003110AE" w:rsidRDefault="003110AE" w:rsidP="001257A2">
            <w:pPr>
              <w:jc w:val="center"/>
            </w:pPr>
            <w:r>
              <w:t>31</w:t>
            </w:r>
          </w:p>
        </w:tc>
        <w:tc>
          <w:tcPr>
            <w:tcW w:w="4536" w:type="dxa"/>
          </w:tcPr>
          <w:p w14:paraId="099D1876" w14:textId="77777777" w:rsidR="003110AE" w:rsidRPr="003110AE" w:rsidRDefault="003110AE" w:rsidP="008C4316">
            <w:pPr>
              <w:rPr>
                <w:b/>
              </w:rPr>
            </w:pPr>
            <w:r w:rsidRPr="003110AE">
              <w:rPr>
                <w:b/>
              </w:rPr>
              <w:t>Rozwiązanie umowy o pracę z działaczem opozycji w okresie 2 lat przed osiągnięciem wieku emerytalnego mogłoby się odbyć wyłącznie za zgodą starosty</w:t>
            </w:r>
          </w:p>
        </w:tc>
        <w:tc>
          <w:tcPr>
            <w:tcW w:w="3544" w:type="dxa"/>
          </w:tcPr>
          <w:p w14:paraId="6AC02A73" w14:textId="77777777" w:rsidR="003110AE" w:rsidRDefault="003110AE" w:rsidP="008C4316">
            <w:r>
              <w:t>Podobne uprawnienie mają kombatanci</w:t>
            </w:r>
          </w:p>
        </w:tc>
        <w:tc>
          <w:tcPr>
            <w:tcW w:w="1418" w:type="dxa"/>
          </w:tcPr>
          <w:p w14:paraId="692977D5" w14:textId="77777777" w:rsidR="003110AE" w:rsidRDefault="003110AE" w:rsidP="001257A2"/>
        </w:tc>
        <w:tc>
          <w:tcPr>
            <w:tcW w:w="3934" w:type="dxa"/>
          </w:tcPr>
          <w:p w14:paraId="76E72275" w14:textId="77777777" w:rsidR="003110AE" w:rsidRDefault="003110AE" w:rsidP="001257A2"/>
        </w:tc>
      </w:tr>
      <w:tr w:rsidR="003110AE" w14:paraId="71E4218D" w14:textId="77777777" w:rsidTr="001257A2">
        <w:tc>
          <w:tcPr>
            <w:tcW w:w="562" w:type="dxa"/>
          </w:tcPr>
          <w:p w14:paraId="59D818F3" w14:textId="77777777" w:rsidR="003110AE" w:rsidRDefault="003110AE" w:rsidP="001257A2">
            <w:pPr>
              <w:jc w:val="center"/>
            </w:pPr>
            <w:r>
              <w:t>32</w:t>
            </w:r>
          </w:p>
        </w:tc>
        <w:tc>
          <w:tcPr>
            <w:tcW w:w="4536" w:type="dxa"/>
          </w:tcPr>
          <w:p w14:paraId="5242093A" w14:textId="77777777" w:rsidR="003110AE" w:rsidRPr="003110AE" w:rsidRDefault="003110AE" w:rsidP="008C4316">
            <w:pPr>
              <w:rPr>
                <w:b/>
              </w:rPr>
            </w:pPr>
            <w:r w:rsidRPr="003110AE">
              <w:rPr>
                <w:b/>
              </w:rPr>
              <w:t>Okresy działalności antykomunistycznej i doznanych represji uwzględniane w wymiarze podwójnym przy ustalaniu prawa do emerytury.</w:t>
            </w:r>
          </w:p>
          <w:p w14:paraId="4A68E5F0" w14:textId="77777777" w:rsidR="003110AE" w:rsidRPr="003110AE" w:rsidRDefault="003110AE" w:rsidP="008C4316">
            <w:pPr>
              <w:rPr>
                <w:b/>
              </w:rPr>
            </w:pPr>
          </w:p>
        </w:tc>
        <w:tc>
          <w:tcPr>
            <w:tcW w:w="3544" w:type="dxa"/>
          </w:tcPr>
          <w:p w14:paraId="354A094C" w14:textId="77777777" w:rsidR="003110AE" w:rsidRDefault="003110AE" w:rsidP="008C4316">
            <w:r>
              <w:t>Obecnie niektóre rodzaje represji oraz świadczenie pracy na rzecz organizacji opozycyjnych są uwzględniane w wym</w:t>
            </w:r>
            <w:r w:rsidR="00504F17">
              <w:t>i</w:t>
            </w:r>
            <w:r>
              <w:t>arze pojedynczym</w:t>
            </w:r>
          </w:p>
        </w:tc>
        <w:tc>
          <w:tcPr>
            <w:tcW w:w="1418" w:type="dxa"/>
          </w:tcPr>
          <w:p w14:paraId="74536BAB" w14:textId="77777777" w:rsidR="003110AE" w:rsidRDefault="003110AE" w:rsidP="001257A2"/>
        </w:tc>
        <w:tc>
          <w:tcPr>
            <w:tcW w:w="3934" w:type="dxa"/>
          </w:tcPr>
          <w:p w14:paraId="3F566EC4" w14:textId="77777777" w:rsidR="003110AE" w:rsidRDefault="003110AE" w:rsidP="001257A2"/>
        </w:tc>
      </w:tr>
      <w:tr w:rsidR="00504F17" w14:paraId="4542F709" w14:textId="77777777" w:rsidTr="001257A2">
        <w:tc>
          <w:tcPr>
            <w:tcW w:w="562" w:type="dxa"/>
          </w:tcPr>
          <w:p w14:paraId="57E821F2" w14:textId="77777777" w:rsidR="00504F17" w:rsidRDefault="00504F17" w:rsidP="001257A2">
            <w:pPr>
              <w:jc w:val="center"/>
            </w:pPr>
            <w:r>
              <w:t>33</w:t>
            </w:r>
          </w:p>
        </w:tc>
        <w:tc>
          <w:tcPr>
            <w:tcW w:w="4536" w:type="dxa"/>
          </w:tcPr>
          <w:p w14:paraId="7F6B2756" w14:textId="77777777" w:rsidR="00504F17" w:rsidRPr="003110AE" w:rsidRDefault="00504F17" w:rsidP="008C4316">
            <w:pPr>
              <w:rPr>
                <w:b/>
              </w:rPr>
            </w:pPr>
            <w:r w:rsidRPr="00504F17">
              <w:rPr>
                <w:b/>
              </w:rPr>
              <w:t xml:space="preserve">Okresy działalności antykomunistycznej i doznanych represji powinny być </w:t>
            </w:r>
            <w:r>
              <w:rPr>
                <w:b/>
              </w:rPr>
              <w:t xml:space="preserve">wliczane </w:t>
            </w:r>
            <w:r w:rsidRPr="00504F17">
              <w:rPr>
                <w:b/>
              </w:rPr>
              <w:t xml:space="preserve">do okresów zatrudnienia, od których zależy wysokość świadczeń od pracodawcy (np. przy </w:t>
            </w:r>
            <w:r w:rsidRPr="00504F17">
              <w:rPr>
                <w:b/>
              </w:rPr>
              <w:lastRenderedPageBreak/>
              <w:t>wyliczaniu nagród jubileuszowych</w:t>
            </w:r>
            <w:r>
              <w:rPr>
                <w:b/>
              </w:rPr>
              <w:t>, wymiaru urlopu</w:t>
            </w:r>
            <w:r w:rsidRPr="00504F17">
              <w:rPr>
                <w:b/>
              </w:rPr>
              <w:t>).</w:t>
            </w:r>
            <w:r>
              <w:rPr>
                <w:b/>
              </w:rPr>
              <w:t xml:space="preserve"> Wersją tego postulatu jest oczekiwanie, by wliczane były tylko okresy pozostawania bez pracy z przyczyn politycznych</w:t>
            </w:r>
          </w:p>
        </w:tc>
        <w:tc>
          <w:tcPr>
            <w:tcW w:w="3544" w:type="dxa"/>
          </w:tcPr>
          <w:p w14:paraId="4CD11A0F" w14:textId="77777777" w:rsidR="00504F17" w:rsidRDefault="00504F17" w:rsidP="008C4316"/>
        </w:tc>
        <w:tc>
          <w:tcPr>
            <w:tcW w:w="1418" w:type="dxa"/>
          </w:tcPr>
          <w:p w14:paraId="0CE18932" w14:textId="77777777" w:rsidR="00504F17" w:rsidRDefault="00504F17" w:rsidP="001257A2"/>
        </w:tc>
        <w:tc>
          <w:tcPr>
            <w:tcW w:w="3934" w:type="dxa"/>
          </w:tcPr>
          <w:p w14:paraId="4358EB2D" w14:textId="77777777" w:rsidR="00504F17" w:rsidRDefault="00504F17" w:rsidP="001257A2"/>
        </w:tc>
      </w:tr>
      <w:tr w:rsidR="00504F17" w14:paraId="0DFD8B80" w14:textId="77777777" w:rsidTr="001257A2">
        <w:tc>
          <w:tcPr>
            <w:tcW w:w="562" w:type="dxa"/>
          </w:tcPr>
          <w:p w14:paraId="350BFE5E" w14:textId="77777777" w:rsidR="00504F17" w:rsidRDefault="00504F17" w:rsidP="001257A2">
            <w:pPr>
              <w:jc w:val="center"/>
            </w:pPr>
            <w:r>
              <w:t>34</w:t>
            </w:r>
          </w:p>
        </w:tc>
        <w:tc>
          <w:tcPr>
            <w:tcW w:w="4536" w:type="dxa"/>
          </w:tcPr>
          <w:p w14:paraId="282A3DC8" w14:textId="77777777" w:rsidR="00504F17" w:rsidRPr="00504F17" w:rsidRDefault="00504F17" w:rsidP="008C4316">
            <w:pPr>
              <w:rPr>
                <w:b/>
              </w:rPr>
            </w:pPr>
            <w:r w:rsidRPr="00504F17">
              <w:rPr>
                <w:b/>
              </w:rPr>
              <w:t>Nałożenie ustawowego obowiązku na samorząd terytorialny przyznawania działaczom przywilejów komunikacyjnych, mieszkaniowych, kulturalnych, zdrowotnych i oświatowych</w:t>
            </w:r>
          </w:p>
        </w:tc>
        <w:tc>
          <w:tcPr>
            <w:tcW w:w="3544" w:type="dxa"/>
          </w:tcPr>
          <w:p w14:paraId="7790EF21" w14:textId="77777777" w:rsidR="00504F17" w:rsidRPr="00504F17" w:rsidRDefault="00504F17" w:rsidP="008C4316">
            <w:r>
              <w:t>O</w:t>
            </w:r>
            <w:r w:rsidRPr="00504F17">
              <w:t xml:space="preserve">becnie w ustawie mowa jest o </w:t>
            </w:r>
            <w:r w:rsidRPr="00504F17">
              <w:rPr>
                <w:b/>
              </w:rPr>
              <w:t>możliwości</w:t>
            </w:r>
            <w:r w:rsidRPr="00504F17">
              <w:t xml:space="preserve"> ustanowienia takich przywilejów przez samorząd</w:t>
            </w:r>
            <w:r>
              <w:t xml:space="preserve">. Zresztą samorządy twierdzą, że istniejący przepis nie może być samoistną podstawą przyznawania określonych w nich przywilejów – musi być dodatkowe upoważnienie w </w:t>
            </w:r>
            <w:r w:rsidR="007970CE">
              <w:t>przepisach</w:t>
            </w:r>
            <w:r>
              <w:t xml:space="preserve"> ustrojowych.</w:t>
            </w:r>
          </w:p>
        </w:tc>
        <w:tc>
          <w:tcPr>
            <w:tcW w:w="1418" w:type="dxa"/>
          </w:tcPr>
          <w:p w14:paraId="0E32BE27" w14:textId="77777777" w:rsidR="00504F17" w:rsidRDefault="00504F17" w:rsidP="001257A2"/>
        </w:tc>
        <w:tc>
          <w:tcPr>
            <w:tcW w:w="3934" w:type="dxa"/>
          </w:tcPr>
          <w:p w14:paraId="4BB586B4" w14:textId="77777777" w:rsidR="00504F17" w:rsidRDefault="00504F17" w:rsidP="001257A2"/>
        </w:tc>
      </w:tr>
      <w:tr w:rsidR="008C4316" w14:paraId="08566C2C" w14:textId="77777777" w:rsidTr="001257A2">
        <w:tc>
          <w:tcPr>
            <w:tcW w:w="562" w:type="dxa"/>
          </w:tcPr>
          <w:p w14:paraId="52DD5463" w14:textId="77777777" w:rsidR="008C4316" w:rsidRDefault="008C4316" w:rsidP="001257A2">
            <w:pPr>
              <w:jc w:val="center"/>
            </w:pPr>
            <w:r>
              <w:t>35</w:t>
            </w:r>
          </w:p>
        </w:tc>
        <w:tc>
          <w:tcPr>
            <w:tcW w:w="4536" w:type="dxa"/>
          </w:tcPr>
          <w:p w14:paraId="0FFB3E39" w14:textId="77777777" w:rsidR="008C4316" w:rsidRPr="00504F17" w:rsidRDefault="008C4316" w:rsidP="008C4316">
            <w:pPr>
              <w:rPr>
                <w:b/>
              </w:rPr>
            </w:pPr>
            <w:r w:rsidRPr="008C4316">
              <w:rPr>
                <w:b/>
              </w:rPr>
              <w:t>Przyznanie działaczom opozycji ustawowej ulgi 100% na przejazdy komunikacją miejską.</w:t>
            </w:r>
          </w:p>
        </w:tc>
        <w:tc>
          <w:tcPr>
            <w:tcW w:w="3544" w:type="dxa"/>
          </w:tcPr>
          <w:p w14:paraId="348EC588" w14:textId="77777777" w:rsidR="008C4316" w:rsidRDefault="008C4316" w:rsidP="008C4316">
            <w:r w:rsidRPr="008C4316">
              <w:t xml:space="preserve">Znaczna część działaczy ma już taką ulgę z racji wieku (w Warszawie taki przywilej ma każdy 70latek). Dodatkowo wiele samorządów wprowadziło taką ulgę dla działaczy aktami prawa miejscowego – np. Warszawa. Zatem </w:t>
            </w:r>
            <w:r>
              <w:t xml:space="preserve">powstaje pytanie o potrzebę </w:t>
            </w:r>
            <w:r w:rsidRPr="008C4316">
              <w:t>ingerencj</w:t>
            </w:r>
            <w:r>
              <w:t>i</w:t>
            </w:r>
            <w:r w:rsidRPr="008C4316">
              <w:t xml:space="preserve"> ustawow</w:t>
            </w:r>
            <w:r>
              <w:t>ej</w:t>
            </w:r>
            <w:r w:rsidRPr="008C4316">
              <w:t xml:space="preserve"> w obszar zarezerwowany dla prawa stanowionego przez samorząd</w:t>
            </w:r>
          </w:p>
        </w:tc>
        <w:tc>
          <w:tcPr>
            <w:tcW w:w="1418" w:type="dxa"/>
          </w:tcPr>
          <w:p w14:paraId="643CCE6B" w14:textId="77777777" w:rsidR="008C4316" w:rsidRDefault="008C4316" w:rsidP="001257A2"/>
        </w:tc>
        <w:tc>
          <w:tcPr>
            <w:tcW w:w="3934" w:type="dxa"/>
          </w:tcPr>
          <w:p w14:paraId="0BC7BAD0" w14:textId="77777777" w:rsidR="008C4316" w:rsidRDefault="008C4316" w:rsidP="001257A2"/>
        </w:tc>
      </w:tr>
      <w:tr w:rsidR="008C4316" w14:paraId="2A09682F" w14:textId="77777777" w:rsidTr="001257A2">
        <w:tc>
          <w:tcPr>
            <w:tcW w:w="562" w:type="dxa"/>
          </w:tcPr>
          <w:p w14:paraId="768086B5" w14:textId="77777777" w:rsidR="008C4316" w:rsidRDefault="008C4316" w:rsidP="001257A2">
            <w:pPr>
              <w:jc w:val="center"/>
            </w:pPr>
            <w:r>
              <w:t>36</w:t>
            </w:r>
          </w:p>
        </w:tc>
        <w:tc>
          <w:tcPr>
            <w:tcW w:w="4536" w:type="dxa"/>
          </w:tcPr>
          <w:p w14:paraId="3BBCCCD5" w14:textId="77777777" w:rsidR="008C4316" w:rsidRPr="008C4316" w:rsidRDefault="008C4316" w:rsidP="008C4316">
            <w:pPr>
              <w:rPr>
                <w:b/>
              </w:rPr>
            </w:pPr>
            <w:r w:rsidRPr="008C4316">
              <w:rPr>
                <w:b/>
              </w:rPr>
              <w:t>Przyznanie prawa do bezpłatnego parkowania w strefach płatnego parkowania</w:t>
            </w:r>
          </w:p>
        </w:tc>
        <w:tc>
          <w:tcPr>
            <w:tcW w:w="3544" w:type="dxa"/>
          </w:tcPr>
          <w:p w14:paraId="550AE39D" w14:textId="77777777" w:rsidR="008C4316" w:rsidRPr="008C4316" w:rsidRDefault="008C4316" w:rsidP="008C4316"/>
        </w:tc>
        <w:tc>
          <w:tcPr>
            <w:tcW w:w="1418" w:type="dxa"/>
          </w:tcPr>
          <w:p w14:paraId="1DCAEEE1" w14:textId="77777777" w:rsidR="008C4316" w:rsidRDefault="008C4316" w:rsidP="001257A2"/>
        </w:tc>
        <w:tc>
          <w:tcPr>
            <w:tcW w:w="3934" w:type="dxa"/>
          </w:tcPr>
          <w:p w14:paraId="0D3AF659" w14:textId="77777777" w:rsidR="008C4316" w:rsidRDefault="008C4316" w:rsidP="001257A2"/>
        </w:tc>
      </w:tr>
      <w:tr w:rsidR="008C4316" w14:paraId="3CD94335" w14:textId="77777777" w:rsidTr="001257A2">
        <w:tc>
          <w:tcPr>
            <w:tcW w:w="562" w:type="dxa"/>
          </w:tcPr>
          <w:p w14:paraId="45EEA139" w14:textId="77777777" w:rsidR="008C4316" w:rsidRDefault="008C4316" w:rsidP="001257A2">
            <w:pPr>
              <w:jc w:val="center"/>
            </w:pPr>
            <w:r>
              <w:lastRenderedPageBreak/>
              <w:t>37</w:t>
            </w:r>
          </w:p>
        </w:tc>
        <w:tc>
          <w:tcPr>
            <w:tcW w:w="4536" w:type="dxa"/>
          </w:tcPr>
          <w:p w14:paraId="6EABF2DA" w14:textId="77777777" w:rsidR="008C4316" w:rsidRPr="008C4316" w:rsidRDefault="008C4316" w:rsidP="008C4316">
            <w:pPr>
              <w:rPr>
                <w:b/>
              </w:rPr>
            </w:pPr>
            <w:r w:rsidRPr="008C4316">
              <w:rPr>
                <w:b/>
              </w:rPr>
              <w:t>Przyznanie prawa do bezpłatnych przejazdów komunikacją krajową (kolejową i autobusową).</w:t>
            </w:r>
          </w:p>
          <w:p w14:paraId="55908BA8" w14:textId="77777777" w:rsidR="008C4316" w:rsidRPr="008C4316" w:rsidRDefault="008C4316" w:rsidP="008C4316">
            <w:pPr>
              <w:rPr>
                <w:b/>
              </w:rPr>
            </w:pPr>
          </w:p>
        </w:tc>
        <w:tc>
          <w:tcPr>
            <w:tcW w:w="3544" w:type="dxa"/>
          </w:tcPr>
          <w:p w14:paraId="254A8C9E" w14:textId="77777777" w:rsidR="008C4316" w:rsidRPr="008C4316" w:rsidRDefault="0060164F" w:rsidP="008C4316">
            <w:r>
              <w:t>Obecnie 51 proc. zniżki</w:t>
            </w:r>
          </w:p>
        </w:tc>
        <w:tc>
          <w:tcPr>
            <w:tcW w:w="1418" w:type="dxa"/>
          </w:tcPr>
          <w:p w14:paraId="3801420C" w14:textId="77777777" w:rsidR="008C4316" w:rsidRDefault="008C4316" w:rsidP="001257A2"/>
        </w:tc>
        <w:tc>
          <w:tcPr>
            <w:tcW w:w="3934" w:type="dxa"/>
          </w:tcPr>
          <w:p w14:paraId="234F8620" w14:textId="77777777" w:rsidR="008C4316" w:rsidRDefault="008C4316" w:rsidP="001257A2"/>
        </w:tc>
      </w:tr>
      <w:tr w:rsidR="008C4316" w14:paraId="3A23BAD2" w14:textId="77777777" w:rsidTr="001257A2">
        <w:tc>
          <w:tcPr>
            <w:tcW w:w="562" w:type="dxa"/>
          </w:tcPr>
          <w:p w14:paraId="75F409F7" w14:textId="77777777" w:rsidR="008C4316" w:rsidRDefault="008C4316" w:rsidP="001257A2">
            <w:pPr>
              <w:jc w:val="center"/>
            </w:pPr>
            <w:r>
              <w:t>38</w:t>
            </w:r>
          </w:p>
        </w:tc>
        <w:tc>
          <w:tcPr>
            <w:tcW w:w="4536" w:type="dxa"/>
          </w:tcPr>
          <w:p w14:paraId="2E2F2E09" w14:textId="77777777" w:rsidR="008C4316" w:rsidRPr="008C4316" w:rsidRDefault="008C4316" w:rsidP="008C4316">
            <w:pPr>
              <w:rPr>
                <w:b/>
              </w:rPr>
            </w:pPr>
            <w:r>
              <w:rPr>
                <w:b/>
              </w:rPr>
              <w:t>N</w:t>
            </w:r>
            <w:r w:rsidRPr="008C4316">
              <w:rPr>
                <w:b/>
              </w:rPr>
              <w:t>owelizacj</w:t>
            </w:r>
            <w:r>
              <w:rPr>
                <w:b/>
              </w:rPr>
              <w:t>a</w:t>
            </w:r>
            <w:r w:rsidRPr="008C4316">
              <w:rPr>
                <w:b/>
              </w:rPr>
              <w:t xml:space="preserve"> przepisów postępowania sądowego w taki sposób, żeby wszystkie</w:t>
            </w:r>
          </w:p>
          <w:p w14:paraId="6305D8EC" w14:textId="77777777" w:rsidR="008C4316" w:rsidRPr="008C4316" w:rsidRDefault="008C4316" w:rsidP="008C4316">
            <w:pPr>
              <w:rPr>
                <w:b/>
              </w:rPr>
            </w:pPr>
            <w:r w:rsidRPr="008C4316">
              <w:rPr>
                <w:b/>
              </w:rPr>
              <w:t>dotychczasowe roszczenia odszkodowawcze ofiar prześladowań komunistycznych</w:t>
            </w:r>
          </w:p>
          <w:p w14:paraId="725FC4C6" w14:textId="77777777" w:rsidR="008C4316" w:rsidRPr="008C4316" w:rsidRDefault="008C4316" w:rsidP="008C4316">
            <w:pPr>
              <w:rPr>
                <w:b/>
              </w:rPr>
            </w:pPr>
            <w:r w:rsidRPr="008C4316">
              <w:rPr>
                <w:b/>
              </w:rPr>
              <w:t>przedawniły się 23 grudnia 2041 r. i zostały zwolnione z opłat sądowych, a dotychczasowe</w:t>
            </w:r>
          </w:p>
          <w:p w14:paraId="5F0CE779" w14:textId="77777777" w:rsidR="008C4316" w:rsidRPr="008C4316" w:rsidRDefault="008C4316" w:rsidP="008C4316">
            <w:pPr>
              <w:rPr>
                <w:b/>
              </w:rPr>
            </w:pPr>
            <w:r w:rsidRPr="008C4316">
              <w:rPr>
                <w:b/>
              </w:rPr>
              <w:t>postępowania odszkodowawcze wznawiane były na żądanie strony</w:t>
            </w:r>
          </w:p>
        </w:tc>
        <w:tc>
          <w:tcPr>
            <w:tcW w:w="3544" w:type="dxa"/>
          </w:tcPr>
          <w:p w14:paraId="0D18FD6E" w14:textId="77777777" w:rsidR="008C4316" w:rsidRPr="008C4316" w:rsidRDefault="008C4316" w:rsidP="008C4316">
            <w:r>
              <w:t>Szersze uzasadnienie w załączonym materiale</w:t>
            </w:r>
          </w:p>
        </w:tc>
        <w:tc>
          <w:tcPr>
            <w:tcW w:w="1418" w:type="dxa"/>
          </w:tcPr>
          <w:p w14:paraId="12BF0ABA" w14:textId="77777777" w:rsidR="008C4316" w:rsidRDefault="008C4316" w:rsidP="001257A2"/>
        </w:tc>
        <w:tc>
          <w:tcPr>
            <w:tcW w:w="3934" w:type="dxa"/>
          </w:tcPr>
          <w:p w14:paraId="460B4A07" w14:textId="77777777" w:rsidR="008C4316" w:rsidRDefault="008C4316" w:rsidP="001257A2"/>
        </w:tc>
      </w:tr>
      <w:tr w:rsidR="008C4316" w14:paraId="195F5DDD" w14:textId="77777777" w:rsidTr="001257A2">
        <w:tc>
          <w:tcPr>
            <w:tcW w:w="562" w:type="dxa"/>
          </w:tcPr>
          <w:p w14:paraId="07C2E0AF" w14:textId="77777777" w:rsidR="008C4316" w:rsidRDefault="008C4316" w:rsidP="008C4316"/>
        </w:tc>
        <w:tc>
          <w:tcPr>
            <w:tcW w:w="4536" w:type="dxa"/>
          </w:tcPr>
          <w:p w14:paraId="5A325D9C" w14:textId="77777777" w:rsidR="008C4316" w:rsidRDefault="008C4316" w:rsidP="008C4316">
            <w:pPr>
              <w:rPr>
                <w:b/>
              </w:rPr>
            </w:pPr>
          </w:p>
        </w:tc>
        <w:tc>
          <w:tcPr>
            <w:tcW w:w="3544" w:type="dxa"/>
          </w:tcPr>
          <w:p w14:paraId="593E00D0" w14:textId="77777777" w:rsidR="008C4316" w:rsidRDefault="008C4316" w:rsidP="008C4316"/>
        </w:tc>
        <w:tc>
          <w:tcPr>
            <w:tcW w:w="1418" w:type="dxa"/>
          </w:tcPr>
          <w:p w14:paraId="3AB20EEB" w14:textId="77777777" w:rsidR="008C4316" w:rsidRDefault="008C4316" w:rsidP="001257A2"/>
        </w:tc>
        <w:tc>
          <w:tcPr>
            <w:tcW w:w="3934" w:type="dxa"/>
          </w:tcPr>
          <w:p w14:paraId="5BF321AA" w14:textId="77777777" w:rsidR="008C4316" w:rsidRDefault="008C4316" w:rsidP="001257A2"/>
        </w:tc>
      </w:tr>
    </w:tbl>
    <w:p w14:paraId="7AA0985C" w14:textId="77777777" w:rsidR="000D193C" w:rsidRDefault="001257A2">
      <w:r>
        <w:br w:type="textWrapping" w:clear="all"/>
      </w:r>
    </w:p>
    <w:sectPr w:rsidR="000D193C" w:rsidSect="000D193C">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C645" w14:textId="77777777" w:rsidR="001C2190" w:rsidRDefault="001C2190" w:rsidP="000D193C">
      <w:pPr>
        <w:spacing w:after="0" w:line="240" w:lineRule="auto"/>
      </w:pPr>
      <w:r>
        <w:separator/>
      </w:r>
    </w:p>
  </w:endnote>
  <w:endnote w:type="continuationSeparator" w:id="0">
    <w:p w14:paraId="6088CFED" w14:textId="77777777" w:rsidR="001C2190" w:rsidRDefault="001C2190" w:rsidP="000D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681774"/>
      <w:docPartObj>
        <w:docPartGallery w:val="Page Numbers (Bottom of Page)"/>
        <w:docPartUnique/>
      </w:docPartObj>
    </w:sdtPr>
    <w:sdtContent>
      <w:sdt>
        <w:sdtPr>
          <w:id w:val="1728636285"/>
          <w:docPartObj>
            <w:docPartGallery w:val="Page Numbers (Top of Page)"/>
            <w:docPartUnique/>
          </w:docPartObj>
        </w:sdtPr>
        <w:sdtContent>
          <w:p w14:paraId="00FB0602" w14:textId="77777777" w:rsidR="000D193C" w:rsidRDefault="000D193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9223A7E" w14:textId="77777777" w:rsidR="000D193C" w:rsidRDefault="000D1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E207" w14:textId="77777777" w:rsidR="001C2190" w:rsidRDefault="001C2190" w:rsidP="000D193C">
      <w:pPr>
        <w:spacing w:after="0" w:line="240" w:lineRule="auto"/>
      </w:pPr>
      <w:r>
        <w:separator/>
      </w:r>
    </w:p>
  </w:footnote>
  <w:footnote w:type="continuationSeparator" w:id="0">
    <w:p w14:paraId="20FB4748" w14:textId="77777777" w:rsidR="001C2190" w:rsidRDefault="001C2190" w:rsidP="000D1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5C5C" w14:textId="77777777" w:rsidR="000D193C" w:rsidRDefault="000D193C" w:rsidP="000D193C"/>
  <w:tbl>
    <w:tblPr>
      <w:tblStyle w:val="Tabela-Siatka"/>
      <w:tblW w:w="0" w:type="auto"/>
      <w:tblLook w:val="04A0" w:firstRow="1" w:lastRow="0" w:firstColumn="1" w:lastColumn="0" w:noHBand="0" w:noVBand="1"/>
    </w:tblPr>
    <w:tblGrid>
      <w:gridCol w:w="561"/>
      <w:gridCol w:w="4440"/>
      <w:gridCol w:w="3472"/>
      <w:gridCol w:w="1658"/>
      <w:gridCol w:w="3863"/>
    </w:tblGrid>
    <w:tr w:rsidR="000D193C" w14:paraId="2C3839C8" w14:textId="77777777" w:rsidTr="000D193C">
      <w:tc>
        <w:tcPr>
          <w:tcW w:w="562" w:type="dxa"/>
        </w:tcPr>
        <w:p w14:paraId="2FE4FE2E" w14:textId="77777777" w:rsidR="000D193C" w:rsidRDefault="000D193C" w:rsidP="000D193C">
          <w:pPr>
            <w:jc w:val="center"/>
          </w:pPr>
          <w:r>
            <w:t>L.p.</w:t>
          </w:r>
        </w:p>
      </w:tc>
      <w:tc>
        <w:tcPr>
          <w:tcW w:w="4536" w:type="dxa"/>
        </w:tcPr>
        <w:p w14:paraId="7EF7EC7F" w14:textId="77777777" w:rsidR="000D193C" w:rsidRDefault="000D193C" w:rsidP="000D193C">
          <w:pPr>
            <w:jc w:val="center"/>
          </w:pPr>
          <w:r>
            <w:t>Postulat</w:t>
          </w:r>
        </w:p>
      </w:tc>
      <w:tc>
        <w:tcPr>
          <w:tcW w:w="3544" w:type="dxa"/>
        </w:tcPr>
        <w:p w14:paraId="0838B069" w14:textId="77777777" w:rsidR="000D193C" w:rsidRDefault="000D193C" w:rsidP="000D193C">
          <w:pPr>
            <w:jc w:val="center"/>
          </w:pPr>
          <w:r>
            <w:t>Uwagi Urzędu</w:t>
          </w:r>
        </w:p>
      </w:tc>
      <w:tc>
        <w:tcPr>
          <w:tcW w:w="1418" w:type="dxa"/>
        </w:tcPr>
        <w:p w14:paraId="01D471C2" w14:textId="77777777" w:rsidR="000D193C" w:rsidRDefault="000D193C" w:rsidP="000D193C">
          <w:pPr>
            <w:jc w:val="center"/>
          </w:pPr>
          <w:r>
            <w:t>Opinia</w:t>
          </w:r>
          <w:r w:rsidR="009B4566">
            <w:t xml:space="preserve"> członka</w:t>
          </w:r>
          <w:r>
            <w:t xml:space="preserve"> Rady</w:t>
          </w:r>
        </w:p>
        <w:p w14:paraId="4E1CC923" w14:textId="77777777" w:rsidR="000D193C" w:rsidRDefault="000D193C" w:rsidP="000D193C">
          <w:pPr>
            <w:jc w:val="center"/>
          </w:pPr>
          <w:r>
            <w:t>Tak/Nie</w:t>
          </w:r>
          <w:r w:rsidR="001257A2">
            <w:t>/Nie mam jednoznacznego zdania</w:t>
          </w:r>
        </w:p>
      </w:tc>
      <w:tc>
        <w:tcPr>
          <w:tcW w:w="3934" w:type="dxa"/>
        </w:tcPr>
        <w:p w14:paraId="415D1D42" w14:textId="77777777" w:rsidR="000D193C" w:rsidRDefault="00730864" w:rsidP="000D193C">
          <w:pPr>
            <w:jc w:val="center"/>
          </w:pPr>
          <w:r>
            <w:t>Ewentualne</w:t>
          </w:r>
          <w:r w:rsidR="000D193C">
            <w:t xml:space="preserve"> </w:t>
          </w:r>
          <w:r>
            <w:t xml:space="preserve">uwagi </w:t>
          </w:r>
          <w:r w:rsidR="00E37D0D">
            <w:t xml:space="preserve">członka </w:t>
          </w:r>
          <w:r w:rsidR="000D193C">
            <w:t>Rady</w:t>
          </w:r>
        </w:p>
      </w:tc>
    </w:tr>
    <w:tr w:rsidR="000D193C" w14:paraId="655627C7" w14:textId="77777777" w:rsidTr="000D193C">
      <w:tc>
        <w:tcPr>
          <w:tcW w:w="562" w:type="dxa"/>
        </w:tcPr>
        <w:p w14:paraId="040D681B" w14:textId="77777777" w:rsidR="000D193C" w:rsidRPr="000D193C" w:rsidRDefault="000D193C" w:rsidP="000D193C">
          <w:pPr>
            <w:jc w:val="center"/>
            <w:rPr>
              <w:sz w:val="16"/>
              <w:szCs w:val="16"/>
            </w:rPr>
          </w:pPr>
          <w:r w:rsidRPr="000D193C">
            <w:rPr>
              <w:sz w:val="16"/>
              <w:szCs w:val="16"/>
            </w:rPr>
            <w:t>1</w:t>
          </w:r>
        </w:p>
      </w:tc>
      <w:tc>
        <w:tcPr>
          <w:tcW w:w="4536" w:type="dxa"/>
        </w:tcPr>
        <w:p w14:paraId="115F7B00" w14:textId="77777777" w:rsidR="000D193C" w:rsidRPr="000D193C" w:rsidRDefault="000D193C" w:rsidP="000D193C">
          <w:pPr>
            <w:jc w:val="center"/>
            <w:rPr>
              <w:sz w:val="16"/>
              <w:szCs w:val="16"/>
            </w:rPr>
          </w:pPr>
          <w:r w:rsidRPr="000D193C">
            <w:rPr>
              <w:sz w:val="16"/>
              <w:szCs w:val="16"/>
            </w:rPr>
            <w:t>2</w:t>
          </w:r>
        </w:p>
      </w:tc>
      <w:tc>
        <w:tcPr>
          <w:tcW w:w="3544" w:type="dxa"/>
        </w:tcPr>
        <w:p w14:paraId="16FE6267" w14:textId="77777777" w:rsidR="000D193C" w:rsidRPr="000D193C" w:rsidRDefault="000D193C" w:rsidP="000D193C">
          <w:pPr>
            <w:jc w:val="center"/>
            <w:rPr>
              <w:sz w:val="16"/>
              <w:szCs w:val="16"/>
            </w:rPr>
          </w:pPr>
          <w:r w:rsidRPr="000D193C">
            <w:rPr>
              <w:sz w:val="16"/>
              <w:szCs w:val="16"/>
            </w:rPr>
            <w:t>3</w:t>
          </w:r>
        </w:p>
      </w:tc>
      <w:tc>
        <w:tcPr>
          <w:tcW w:w="1418" w:type="dxa"/>
        </w:tcPr>
        <w:p w14:paraId="3811D41F" w14:textId="77777777" w:rsidR="000D193C" w:rsidRPr="000D193C" w:rsidRDefault="000D193C" w:rsidP="000D193C">
          <w:pPr>
            <w:jc w:val="center"/>
            <w:rPr>
              <w:sz w:val="16"/>
              <w:szCs w:val="16"/>
            </w:rPr>
          </w:pPr>
          <w:r w:rsidRPr="000D193C">
            <w:rPr>
              <w:sz w:val="16"/>
              <w:szCs w:val="16"/>
            </w:rPr>
            <w:t>4</w:t>
          </w:r>
        </w:p>
      </w:tc>
      <w:tc>
        <w:tcPr>
          <w:tcW w:w="3934" w:type="dxa"/>
        </w:tcPr>
        <w:p w14:paraId="1F0386C6" w14:textId="77777777" w:rsidR="000D193C" w:rsidRPr="000D193C" w:rsidRDefault="000D193C" w:rsidP="000D193C">
          <w:pPr>
            <w:jc w:val="center"/>
            <w:rPr>
              <w:sz w:val="16"/>
              <w:szCs w:val="16"/>
            </w:rPr>
          </w:pPr>
          <w:r w:rsidRPr="000D193C">
            <w:rPr>
              <w:sz w:val="16"/>
              <w:szCs w:val="16"/>
            </w:rPr>
            <w:t>5</w:t>
          </w:r>
        </w:p>
      </w:tc>
    </w:tr>
  </w:tbl>
  <w:p w14:paraId="3540F2EE" w14:textId="77777777" w:rsidR="000D193C" w:rsidRPr="000D193C" w:rsidRDefault="000D193C" w:rsidP="000D193C">
    <w:pPr>
      <w:pStyle w:val="Nagwe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D2"/>
    <w:rsid w:val="000074C8"/>
    <w:rsid w:val="0006296D"/>
    <w:rsid w:val="000D193C"/>
    <w:rsid w:val="001257A2"/>
    <w:rsid w:val="001C2190"/>
    <w:rsid w:val="002137C4"/>
    <w:rsid w:val="002215BB"/>
    <w:rsid w:val="00254199"/>
    <w:rsid w:val="00295308"/>
    <w:rsid w:val="002C4117"/>
    <w:rsid w:val="002D1D63"/>
    <w:rsid w:val="003110AE"/>
    <w:rsid w:val="003242D5"/>
    <w:rsid w:val="003412F5"/>
    <w:rsid w:val="003603AB"/>
    <w:rsid w:val="003E66F0"/>
    <w:rsid w:val="003F2996"/>
    <w:rsid w:val="0040761E"/>
    <w:rsid w:val="00455A9C"/>
    <w:rsid w:val="00504F17"/>
    <w:rsid w:val="00527EFF"/>
    <w:rsid w:val="00595BBF"/>
    <w:rsid w:val="005977CC"/>
    <w:rsid w:val="005A231F"/>
    <w:rsid w:val="0060164F"/>
    <w:rsid w:val="00647F4D"/>
    <w:rsid w:val="006F5CCD"/>
    <w:rsid w:val="00730864"/>
    <w:rsid w:val="00756EE6"/>
    <w:rsid w:val="007970CE"/>
    <w:rsid w:val="007C1A34"/>
    <w:rsid w:val="00892AC4"/>
    <w:rsid w:val="008C4316"/>
    <w:rsid w:val="008D0B19"/>
    <w:rsid w:val="008E17D3"/>
    <w:rsid w:val="00907B59"/>
    <w:rsid w:val="00910E0B"/>
    <w:rsid w:val="00957629"/>
    <w:rsid w:val="009727D9"/>
    <w:rsid w:val="009B4566"/>
    <w:rsid w:val="009B4D20"/>
    <w:rsid w:val="009C69A1"/>
    <w:rsid w:val="009D0776"/>
    <w:rsid w:val="00A17B46"/>
    <w:rsid w:val="00A26A34"/>
    <w:rsid w:val="00A27FA2"/>
    <w:rsid w:val="00A739CF"/>
    <w:rsid w:val="00AB6B55"/>
    <w:rsid w:val="00AF0B30"/>
    <w:rsid w:val="00B34374"/>
    <w:rsid w:val="00B40710"/>
    <w:rsid w:val="00BB4A8F"/>
    <w:rsid w:val="00C35B57"/>
    <w:rsid w:val="00E37D0D"/>
    <w:rsid w:val="00E44353"/>
    <w:rsid w:val="00F76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F4AD"/>
  <w15:chartTrackingRefBased/>
  <w15:docId w15:val="{2E27A706-95B7-49F6-A9FE-43E69997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D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D19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193C"/>
  </w:style>
  <w:style w:type="paragraph" w:styleId="Stopka">
    <w:name w:val="footer"/>
    <w:basedOn w:val="Normalny"/>
    <w:link w:val="StopkaZnak"/>
    <w:uiPriority w:val="99"/>
    <w:unhideWhenUsed/>
    <w:rsid w:val="000D19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2646</Words>
  <Characters>15878</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UDSKIOR</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Ignatowicz-Mikuła</dc:creator>
  <cp:keywords/>
  <dc:description/>
  <cp:lastModifiedBy>Edward Nowak</cp:lastModifiedBy>
  <cp:revision>2</cp:revision>
  <dcterms:created xsi:type="dcterms:W3CDTF">2024-12-23T15:19:00Z</dcterms:created>
  <dcterms:modified xsi:type="dcterms:W3CDTF">2024-12-23T15:19:00Z</dcterms:modified>
</cp:coreProperties>
</file>